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9D2B" w14:textId="77777777" w:rsidR="00912705" w:rsidRPr="001664C4" w:rsidRDefault="003117A7" w:rsidP="001664C4">
      <w:pPr>
        <w:spacing w:line="560" w:lineRule="exact"/>
        <w:rPr>
          <w:rFonts w:ascii="黑体" w:eastAsia="黑体" w:hAnsi="黑体"/>
          <w:sz w:val="32"/>
          <w:szCs w:val="32"/>
        </w:rPr>
      </w:pPr>
      <w:r w:rsidRPr="001664C4">
        <w:rPr>
          <w:rFonts w:ascii="黑体" w:eastAsia="黑体" w:hAnsi="黑体" w:hint="eastAsia"/>
          <w:sz w:val="32"/>
          <w:szCs w:val="32"/>
        </w:rPr>
        <w:t>附件</w:t>
      </w:r>
      <w:r w:rsidRPr="001664C4">
        <w:rPr>
          <w:rFonts w:ascii="黑体" w:eastAsia="黑体" w:hAnsi="黑体"/>
          <w:sz w:val="32"/>
          <w:szCs w:val="32"/>
        </w:rPr>
        <w:t>1</w:t>
      </w:r>
    </w:p>
    <w:p w14:paraId="73C27533" w14:textId="77777777" w:rsidR="00912705" w:rsidRDefault="00912705">
      <w:pPr>
        <w:spacing w:line="480" w:lineRule="exact"/>
        <w:jc w:val="left"/>
        <w:rPr>
          <w:b/>
          <w:sz w:val="28"/>
        </w:rPr>
      </w:pPr>
    </w:p>
    <w:p w14:paraId="7445F46A" w14:textId="2D5D7DD9" w:rsidR="001664C4" w:rsidRPr="001664C4" w:rsidRDefault="003117A7" w:rsidP="001664C4">
      <w:pPr>
        <w:spacing w:line="480" w:lineRule="exact"/>
        <w:jc w:val="center"/>
        <w:rPr>
          <w:rFonts w:ascii="方正小标宋简体" w:eastAsia="方正小标宋简体" w:hAnsiTheme="minorHAnsi" w:cstheme="minorBidi" w:hint="eastAsia"/>
          <w:sz w:val="44"/>
          <w:szCs w:val="44"/>
        </w:rPr>
      </w:pPr>
      <w:r w:rsidRPr="001664C4">
        <w:rPr>
          <w:rFonts w:ascii="方正小标宋简体" w:eastAsia="方正小标宋简体" w:hAnsiTheme="minorHAnsi" w:cstheme="minorBidi" w:hint="eastAsia"/>
          <w:sz w:val="44"/>
          <w:szCs w:val="44"/>
        </w:rPr>
        <w:t>浙江省大学生生命科学竞赛</w:t>
      </w:r>
      <w:r w:rsidRPr="001664C4">
        <w:rPr>
          <w:rFonts w:ascii="宋体" w:hAnsi="宋体" w:cs="宋体" w:hint="eastAsia"/>
          <w:sz w:val="44"/>
          <w:szCs w:val="44"/>
        </w:rPr>
        <w:t>规则与网络评分标准</w:t>
      </w:r>
    </w:p>
    <w:p w14:paraId="4200BDD1" w14:textId="77777777" w:rsidR="00912705" w:rsidRDefault="00912705">
      <w:pPr>
        <w:spacing w:line="480" w:lineRule="exact"/>
        <w:jc w:val="left"/>
        <w:rPr>
          <w:sz w:val="24"/>
        </w:rPr>
      </w:pPr>
    </w:p>
    <w:p w14:paraId="317EDA63" w14:textId="77777777" w:rsidR="00912705" w:rsidRPr="001664C4" w:rsidRDefault="003117A7" w:rsidP="001664C4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64C4">
        <w:rPr>
          <w:rFonts w:ascii="黑体" w:eastAsia="黑体" w:hAnsi="黑体" w:hint="eastAsia"/>
          <w:sz w:val="32"/>
          <w:szCs w:val="32"/>
        </w:rPr>
        <w:t>一、竞赛规则</w:t>
      </w:r>
    </w:p>
    <w:p w14:paraId="6A8CCB2C" w14:textId="7EA01971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1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学科分类：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竞赛报名时根据团队的参赛内容，按要求选择研究方向，以方便分配评审专家。</w:t>
      </w:r>
    </w:p>
    <w:p w14:paraId="365B5491" w14:textId="2A069578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2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项目信息：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规范项目信息，报名时团队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编号按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报名顺序统一编号；项目名称、团队成员和指导老师网络评审开始前可增减、调整，网络评审开始后不能再修改。</w:t>
      </w:r>
    </w:p>
    <w:p w14:paraId="68C802A2" w14:textId="0A8EA660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3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参赛限项：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每届竞赛每位指导老师的名字最多只能出现两次，作为第一指导老师只能指导一支队伍。每支参赛团队学生人数不能超过五名。每位学生在校期间最多只能参加二次竞赛，作为主力队员（前三位）只能出现一次。</w:t>
      </w:r>
    </w:p>
    <w:p w14:paraId="5C19F763" w14:textId="709AE1A5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4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决赛队伍：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 xml:space="preserve">根据省赛的决赛成绩，推荐参加 2023 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年决赛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项目，角逐全国大学生生命科学竞赛特等和一、二等奖。</w:t>
      </w:r>
    </w:p>
    <w:p w14:paraId="6B347870" w14:textId="3103C4CF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5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材料递交：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立项报告（研究综述和实验设计）→实验记录→论文和心得。实验记录每天只能上传一份，摘要不超过 50 字符，文本框中内容必填，且不超过500 字符，实验结果和分析可以图片或数据文字的形式通过附件上传。研究综述和实验设计在该材料上传截止日期前可删除修改，实验记录上传当日 24 时前可删除修改，论文和心得在该材料上传截止日期前可以删除修改。每支参赛队伍最多只能上传 30 次实验记录。相关模板在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竞赛官网“下载中心”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可获取。</w:t>
      </w:r>
    </w:p>
    <w:p w14:paraId="56FD5AF8" w14:textId="7AC25D95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6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信息规避：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所有材料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上传前都有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信息泄露提醒框。网络评审时若发现材料中存在信息泄露，该项目总分将做零分处理。</w:t>
      </w:r>
    </w:p>
    <w:p w14:paraId="5097C6B7" w14:textId="76F936A9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7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网评专家：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 xml:space="preserve">系统根据项目研究方向会匹配 5 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位网络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评审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lastRenderedPageBreak/>
        <w:t>专家，对每个项目进行评审，评分差异太大时，将安排第 6 位专家进行评审。</w:t>
      </w:r>
    </w:p>
    <w:p w14:paraId="69AF4686" w14:textId="58A36FA3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8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答辩材料：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每个项目的电子版则由竞赛委员会秘书处负责提供，纸质版则由决赛承办单位打印，以备材料组核查。</w:t>
      </w:r>
    </w:p>
    <w:p w14:paraId="0431800A" w14:textId="129F7A4E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9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强调原创：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要求参加决赛团队所在学校负责论文查重，所有决赛队伍参加决赛时需上交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一份详版的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查重报告。</w:t>
      </w:r>
    </w:p>
    <w:p w14:paraId="7A09AEAF" w14:textId="06DBB224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1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0.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数据保管：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竞赛结束后，竞赛网络平台把所有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数据第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一时间交给竞赛委员会秘书处保管。</w:t>
      </w:r>
    </w:p>
    <w:p w14:paraId="607F7279" w14:textId="0413CBE1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1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1.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证书制作：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网络评审开始后，项目名称、指导老师和队员信息不能更改，获奖证书将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按网评开始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后的项目信息颁发。</w:t>
      </w:r>
    </w:p>
    <w:p w14:paraId="14577263" w14:textId="7537E581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1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2.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监督委员会：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设监督委员会，并设立奖项公示、投诉和撤销制度。经查实竞赛项目作假的，将取消原获奖项并通报所在学校和省赛委员会。</w:t>
      </w:r>
    </w:p>
    <w:p w14:paraId="79CBFF0D" w14:textId="36C3E264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1</w:t>
      </w:r>
      <w:r w:rsidRPr="001664C4">
        <w:rPr>
          <w:rFonts w:ascii="仿宋" w:eastAsia="仿宋" w:hAnsi="仿宋" w:cstheme="minorBidi"/>
          <w:b/>
          <w:bCs/>
          <w:sz w:val="32"/>
          <w:szCs w:val="32"/>
        </w:rPr>
        <w:t>3.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反馈渠道：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如果在竞赛过程中遇到实际问题，可通过 e-mail 或电话联系竞赛委员会秘书处。</w:t>
      </w:r>
    </w:p>
    <w:p w14:paraId="220493AE" w14:textId="32ED044A" w:rsidR="00912705" w:rsidRPr="001664C4" w:rsidRDefault="001664C4" w:rsidP="001664C4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3117A7" w:rsidRPr="001664C4">
        <w:rPr>
          <w:rFonts w:ascii="黑体" w:eastAsia="黑体" w:hAnsi="黑体" w:hint="eastAsia"/>
          <w:sz w:val="32"/>
          <w:szCs w:val="32"/>
        </w:rPr>
        <w:t>、网络评审标准和要求</w:t>
      </w:r>
    </w:p>
    <w:p w14:paraId="1E7AF6C9" w14:textId="77777777" w:rsid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/>
          <w:b/>
          <w:bCs/>
          <w:sz w:val="32"/>
          <w:szCs w:val="32"/>
        </w:rPr>
        <w:t>1.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网</w:t>
      </w:r>
      <w:proofErr w:type="gramStart"/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评内容</w:t>
      </w:r>
      <w:proofErr w:type="gramEnd"/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及标准</w:t>
      </w:r>
    </w:p>
    <w:p w14:paraId="20FB69CD" w14:textId="77777777" w:rsidR="001664C4" w:rsidRDefault="003117A7" w:rsidP="001664C4">
      <w:pPr>
        <w:spacing w:line="480" w:lineRule="exact"/>
        <w:ind w:firstLineChars="200" w:firstLine="640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 w:hint="eastAsia"/>
          <w:sz w:val="32"/>
          <w:szCs w:val="32"/>
        </w:rPr>
        <w:t>网络评审的总分为 100 分，包括立项报告 20 分、实验记录 50 分、论文 25 分、心得 5 分。网评专家在评分过程中参照以下要求执行。</w:t>
      </w:r>
    </w:p>
    <w:p w14:paraId="0B2882BC" w14:textId="45A38CDD" w:rsidR="001664C4" w:rsidRPr="001664C4" w:rsidRDefault="001664C4" w:rsidP="001664C4">
      <w:pPr>
        <w:spacing w:line="480" w:lineRule="exact"/>
        <w:ind w:firstLine="640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（1）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立项报告（20 分）</w:t>
      </w:r>
    </w:p>
    <w:p w14:paraId="4B0FA4D2" w14:textId="77777777" w:rsidR="001664C4" w:rsidRDefault="003117A7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研究综述 1 份（10 分）：</w:t>
      </w:r>
      <w:r w:rsidRPr="001664C4">
        <w:rPr>
          <w:rFonts w:ascii="仿宋" w:eastAsia="仿宋" w:hAnsi="仿宋" w:cstheme="minorBidi" w:hint="eastAsia"/>
          <w:sz w:val="32"/>
          <w:szCs w:val="32"/>
        </w:rPr>
        <w:t>围绕参赛队课题内容，阐述相应领域的最新研究进展，要求内容切题、信息正确、写作规范（不需要英文摘要，参考文献中的中文文献不需要翻译），字数 3000～6000 字（参考文献不计算在内），参考文献限一页。</w:t>
      </w:r>
    </w:p>
    <w:p w14:paraId="5872AD76" w14:textId="5FFB699D" w:rsidR="00912705" w:rsidRPr="001664C4" w:rsidRDefault="003117A7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实验设计 1 份（10 分）：</w:t>
      </w:r>
      <w:r w:rsidRPr="001664C4">
        <w:rPr>
          <w:rFonts w:ascii="仿宋" w:eastAsia="仿宋" w:hAnsi="仿宋" w:cstheme="minorBidi" w:hint="eastAsia"/>
          <w:sz w:val="32"/>
          <w:szCs w:val="32"/>
        </w:rPr>
        <w:t>应包括本研究的目的意义、研究内容、实验方案、技术路线、研究进度及预期成果。要求实验设计具有科学性、规范性和先进性。</w:t>
      </w:r>
    </w:p>
    <w:p w14:paraId="4275648E" w14:textId="61DEFAF9" w:rsidR="00912705" w:rsidRPr="001664C4" w:rsidRDefault="003117A7" w:rsidP="001664C4">
      <w:pPr>
        <w:spacing w:line="480" w:lineRule="exact"/>
        <w:ind w:firstLineChars="200" w:firstLine="643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（2）实验记录（50 分）</w:t>
      </w:r>
    </w:p>
    <w:p w14:paraId="4A40CA16" w14:textId="77777777" w:rsidR="001664C4" w:rsidRDefault="003117A7" w:rsidP="001664C4">
      <w:pPr>
        <w:spacing w:line="48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sz w:val="32"/>
          <w:szCs w:val="32"/>
        </w:rPr>
        <w:lastRenderedPageBreak/>
        <w:t>实验操作和过程要求尊重事实，认真严肃地在竞赛平台上记录实验数据和细节。要求上传实验过程原始记录和实验结果，摘要控制在 50 字符内，内容控制在500 字符内，实验结果和分析可以图片或数据文字的形式通过附件上传。实验过程中出现失误或失败的，只要分析清楚，不影响得分。</w:t>
      </w:r>
    </w:p>
    <w:p w14:paraId="7A9F9CD4" w14:textId="1E9EB98B" w:rsidR="00912705" w:rsidRPr="001664C4" w:rsidRDefault="003117A7" w:rsidP="001664C4">
      <w:pPr>
        <w:spacing w:line="48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sz w:val="32"/>
          <w:szCs w:val="32"/>
        </w:rPr>
        <w:t>评审专家重在对整个实验过程的评价，如实验工作量、实验技术、过程记录、实验结果、实验的真实性和学生的收获等。</w:t>
      </w:r>
    </w:p>
    <w:p w14:paraId="7724D816" w14:textId="77777777" w:rsidR="001664C4" w:rsidRDefault="003117A7" w:rsidP="001664C4">
      <w:pPr>
        <w:spacing w:line="480" w:lineRule="exact"/>
        <w:ind w:firstLineChars="200" w:firstLine="643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（3）论文和心得（25+5 分）</w:t>
      </w:r>
    </w:p>
    <w:p w14:paraId="2178DEA4" w14:textId="0E6FEEB2" w:rsidR="00912705" w:rsidRPr="001664C4" w:rsidRDefault="003117A7" w:rsidP="001664C4">
      <w:pPr>
        <w:spacing w:line="480" w:lineRule="exact"/>
        <w:ind w:firstLineChars="200" w:firstLine="640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 w:hint="eastAsia"/>
          <w:sz w:val="32"/>
          <w:szCs w:val="32"/>
        </w:rPr>
        <w:t>在上述实验的基础上形成论文，论文正文不超过 4 页（包括中英文标题、中文摘要、正文和图表，不需要英文摘要），参考文献不超过 1 页。每个页面的要求如下：A4，页面不分栏，页边距左右 2 厘米、上下 2 厘米，正文 5 号宋体，单</w:t>
      </w:r>
      <w:proofErr w:type="gramStart"/>
      <w:r w:rsidRPr="001664C4">
        <w:rPr>
          <w:rFonts w:ascii="仿宋" w:eastAsia="仿宋" w:hAnsi="仿宋" w:cstheme="minorBidi" w:hint="eastAsia"/>
          <w:sz w:val="32"/>
          <w:szCs w:val="32"/>
        </w:rPr>
        <w:t>倍</w:t>
      </w:r>
      <w:proofErr w:type="gramEnd"/>
      <w:r w:rsidRPr="001664C4">
        <w:rPr>
          <w:rFonts w:ascii="仿宋" w:eastAsia="仿宋" w:hAnsi="仿宋" w:cstheme="minorBidi" w:hint="eastAsia"/>
          <w:sz w:val="32"/>
          <w:szCs w:val="32"/>
        </w:rPr>
        <w:t>行距，摘要小 5 号，图表标题 6 号。在完成所有实验记录和论文上传后，需要上传一份“参加本次竞赛的心得体会”，不超过 500 字符。</w:t>
      </w:r>
    </w:p>
    <w:p w14:paraId="350203C2" w14:textId="769DAF92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/>
          <w:b/>
          <w:bCs/>
          <w:sz w:val="32"/>
          <w:szCs w:val="32"/>
        </w:rPr>
        <w:t>2.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扣分标准</w:t>
      </w:r>
    </w:p>
    <w:p w14:paraId="2956FC93" w14:textId="61E8D440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（1）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信息泄露总分零分处理：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在所有上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传资料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中均不能出现参赛队伍信息，包括学校名称、团队编号、学生及指导老师等相关信息，一旦发现，网评总分作零分处理。</w:t>
      </w:r>
    </w:p>
    <w:p w14:paraId="092457BE" w14:textId="37BFDFFC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（2）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论文版面超出规定要扣分：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正文不能超过 4 页，包括中英文标题、中文摘要、正文和图表，参考文献不超过 1 页。网络评审时多 1 页总分扣 3 分，多 2 页总分扣 6 分，以此类推。</w:t>
      </w:r>
    </w:p>
    <w:p w14:paraId="5246BA50" w14:textId="4CEDB4F5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（3）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论文内容与实验记录不符：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根据不符程度，总分扣 10-20 分。</w:t>
      </w:r>
    </w:p>
    <w:p w14:paraId="7E6661EE" w14:textId="1ECDB583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/>
          <w:b/>
          <w:bCs/>
          <w:sz w:val="32"/>
          <w:szCs w:val="32"/>
        </w:rPr>
        <w:t>3.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评分规则</w:t>
      </w:r>
    </w:p>
    <w:p w14:paraId="38C7E39E" w14:textId="5E423CCF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（1）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评审专家：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从与参赛队实验研究方向匹配度较高的专家中优先选择，每支队伍由 5 位专家评审，去掉一个最高分和一个最低分，网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评最终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成绩为 3 位专家的平均分。统计 3 位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lastRenderedPageBreak/>
        <w:t>专家评审误差比例，设置打分极差，如果 3 位专家的分值相差超过 10 分，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将请第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 xml:space="preserve"> 6 位专家评审，重新计算平均分。</w:t>
      </w:r>
    </w:p>
    <w:p w14:paraId="6773FD7C" w14:textId="55CF9D18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（2）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网评专家评审质量的评估：</w:t>
      </w:r>
      <w:r w:rsidR="003117A7" w:rsidRPr="001664C4">
        <w:rPr>
          <w:rFonts w:ascii="仿宋" w:eastAsia="仿宋" w:hAnsi="仿宋" w:cstheme="minorBidi" w:hint="eastAsia"/>
          <w:sz w:val="32"/>
          <w:szCs w:val="32"/>
        </w:rPr>
        <w:t>在网</w:t>
      </w:r>
      <w:proofErr w:type="gramStart"/>
      <w:r w:rsidR="003117A7" w:rsidRPr="001664C4">
        <w:rPr>
          <w:rFonts w:ascii="仿宋" w:eastAsia="仿宋" w:hAnsi="仿宋" w:cstheme="minorBidi" w:hint="eastAsia"/>
          <w:sz w:val="32"/>
          <w:szCs w:val="32"/>
        </w:rPr>
        <w:t>评过程</w:t>
      </w:r>
      <w:proofErr w:type="gramEnd"/>
      <w:r w:rsidR="003117A7" w:rsidRPr="001664C4">
        <w:rPr>
          <w:rFonts w:ascii="仿宋" w:eastAsia="仿宋" w:hAnsi="仿宋" w:cstheme="minorBidi" w:hint="eastAsia"/>
          <w:sz w:val="32"/>
          <w:szCs w:val="32"/>
        </w:rPr>
        <w:t>中，网络平台及时评估网评专家的工作。网评中出现打“0”分时，要求评审专家填写原因。出现评分异常的专家，网络平台要及时通知竞赛委员会秘书处处理。每年统计分析每位专家的评审质量，并在竞赛委员会内公布和讨论评审质量，对于不认真负责的评审专家，将不再聘任。</w:t>
      </w:r>
    </w:p>
    <w:p w14:paraId="67D07D20" w14:textId="3469FCAE" w:rsidR="00912705" w:rsidRPr="001664C4" w:rsidRDefault="001664C4" w:rsidP="001664C4">
      <w:pPr>
        <w:spacing w:line="480" w:lineRule="exact"/>
        <w:ind w:firstLineChars="200" w:firstLine="643"/>
        <w:rPr>
          <w:rFonts w:ascii="仿宋" w:eastAsia="仿宋" w:hAnsi="仿宋" w:cstheme="minorBidi"/>
          <w:b/>
          <w:bCs/>
          <w:sz w:val="32"/>
          <w:szCs w:val="32"/>
        </w:rPr>
      </w:pPr>
      <w:r w:rsidRPr="001664C4">
        <w:rPr>
          <w:rFonts w:ascii="仿宋" w:eastAsia="仿宋" w:hAnsi="仿宋" w:cstheme="minorBidi"/>
          <w:b/>
          <w:bCs/>
          <w:sz w:val="32"/>
          <w:szCs w:val="32"/>
        </w:rPr>
        <w:t>4.</w:t>
      </w:r>
      <w:r w:rsidR="003117A7" w:rsidRPr="001664C4">
        <w:rPr>
          <w:rFonts w:ascii="仿宋" w:eastAsia="仿宋" w:hAnsi="仿宋" w:cstheme="minorBidi" w:hint="eastAsia"/>
          <w:b/>
          <w:bCs/>
          <w:sz w:val="32"/>
          <w:szCs w:val="32"/>
        </w:rPr>
        <w:t>问题反映途径</w:t>
      </w:r>
    </w:p>
    <w:p w14:paraId="445D10DD" w14:textId="77777777" w:rsidR="00912705" w:rsidRPr="001664C4" w:rsidRDefault="003117A7" w:rsidP="001664C4">
      <w:pPr>
        <w:spacing w:line="480" w:lineRule="exact"/>
        <w:ind w:firstLineChars="200" w:firstLine="640"/>
        <w:rPr>
          <w:rFonts w:ascii="仿宋" w:eastAsia="仿宋" w:hAnsi="仿宋" w:cstheme="minorBidi"/>
          <w:sz w:val="32"/>
          <w:szCs w:val="32"/>
        </w:rPr>
      </w:pPr>
      <w:r w:rsidRPr="001664C4">
        <w:rPr>
          <w:rFonts w:ascii="仿宋" w:eastAsia="仿宋" w:hAnsi="仿宋" w:cstheme="minorBidi" w:hint="eastAsia"/>
          <w:sz w:val="32"/>
          <w:szCs w:val="32"/>
        </w:rPr>
        <w:t>如果专家在网评中遇到实际问题，请以书面形式整理好通过 e-mail 及时上报给竞赛委员会秘书处1468829634@qq.com，秘书处会针对所提问题集中讨论，并将结果及时反馈给网评专家。</w:t>
      </w:r>
      <w:bookmarkStart w:id="0" w:name="page2"/>
      <w:bookmarkEnd w:id="0"/>
    </w:p>
    <w:sectPr w:rsidR="00912705" w:rsidRPr="001664C4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833D" w14:textId="77777777" w:rsidR="00FC6938" w:rsidRDefault="00FC6938" w:rsidP="005C1D28">
      <w:r>
        <w:separator/>
      </w:r>
    </w:p>
  </w:endnote>
  <w:endnote w:type="continuationSeparator" w:id="0">
    <w:p w14:paraId="598D46B3" w14:textId="77777777" w:rsidR="00FC6938" w:rsidRDefault="00FC6938" w:rsidP="005C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7EFFB62-C2C4-46EE-91B2-FC5D40DFF010}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2" w:subsetted="1" w:fontKey="{46E5E6CF-3D1C-4EB7-AAF6-2924B26EEC6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53220F6-D034-4E7B-AF95-68946A90C921}"/>
    <w:embedBold r:id="rId4" w:subsetted="1" w:fontKey="{007A3649-516A-472D-ACCA-D02F1947E4F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FC9F" w14:textId="77777777" w:rsidR="00FC6938" w:rsidRDefault="00FC6938" w:rsidP="005C1D28">
      <w:r>
        <w:separator/>
      </w:r>
    </w:p>
  </w:footnote>
  <w:footnote w:type="continuationSeparator" w:id="0">
    <w:p w14:paraId="6F28372E" w14:textId="77777777" w:rsidR="00FC6938" w:rsidRDefault="00FC6938" w:rsidP="005C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697"/>
    <w:multiLevelType w:val="hybridMultilevel"/>
    <w:tmpl w:val="F4922EEE"/>
    <w:lvl w:ilvl="0" w:tplc="189C8564">
      <w:start w:val="1"/>
      <w:numFmt w:val="decimal"/>
      <w:lvlText w:val="（%1）"/>
      <w:lvlJc w:val="left"/>
      <w:pPr>
        <w:ind w:left="172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5175017"/>
    <w:multiLevelType w:val="multilevel"/>
    <w:tmpl w:val="15175017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0861FC"/>
    <w:multiLevelType w:val="multilevel"/>
    <w:tmpl w:val="280861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B67DD4"/>
    <w:multiLevelType w:val="multilevel"/>
    <w:tmpl w:val="63B67DD4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7762306">
    <w:abstractNumId w:val="2"/>
  </w:num>
  <w:num w:numId="2" w16cid:durableId="770392292">
    <w:abstractNumId w:val="3"/>
  </w:num>
  <w:num w:numId="3" w16cid:durableId="1556701507">
    <w:abstractNumId w:val="1"/>
  </w:num>
  <w:num w:numId="4" w16cid:durableId="180415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0ZDE2MDNlMzc4ODA4NGI3MTE5ZjZkNDJiYjAzZGIifQ=="/>
  </w:docVars>
  <w:rsids>
    <w:rsidRoot w:val="00C51035"/>
    <w:rsid w:val="00026FF5"/>
    <w:rsid w:val="0003682E"/>
    <w:rsid w:val="000421EE"/>
    <w:rsid w:val="00043D47"/>
    <w:rsid w:val="00055259"/>
    <w:rsid w:val="000567BB"/>
    <w:rsid w:val="00081683"/>
    <w:rsid w:val="000B2920"/>
    <w:rsid w:val="000E51A6"/>
    <w:rsid w:val="00102DB3"/>
    <w:rsid w:val="001241EF"/>
    <w:rsid w:val="00131431"/>
    <w:rsid w:val="0014411D"/>
    <w:rsid w:val="001664C4"/>
    <w:rsid w:val="001866F0"/>
    <w:rsid w:val="00191054"/>
    <w:rsid w:val="00196712"/>
    <w:rsid w:val="001D25E3"/>
    <w:rsid w:val="001E0CC7"/>
    <w:rsid w:val="00210804"/>
    <w:rsid w:val="0022623B"/>
    <w:rsid w:val="00233649"/>
    <w:rsid w:val="00260991"/>
    <w:rsid w:val="00262935"/>
    <w:rsid w:val="00287E19"/>
    <w:rsid w:val="002A67EC"/>
    <w:rsid w:val="002B6583"/>
    <w:rsid w:val="002D35BF"/>
    <w:rsid w:val="002F67B3"/>
    <w:rsid w:val="00302D46"/>
    <w:rsid w:val="003117A7"/>
    <w:rsid w:val="00335543"/>
    <w:rsid w:val="00347EFD"/>
    <w:rsid w:val="003A0588"/>
    <w:rsid w:val="003A37B8"/>
    <w:rsid w:val="003B0CFB"/>
    <w:rsid w:val="003F1086"/>
    <w:rsid w:val="0040717F"/>
    <w:rsid w:val="004135AB"/>
    <w:rsid w:val="00435AF5"/>
    <w:rsid w:val="00450C0E"/>
    <w:rsid w:val="004535F8"/>
    <w:rsid w:val="004673AC"/>
    <w:rsid w:val="00487B0C"/>
    <w:rsid w:val="004907C9"/>
    <w:rsid w:val="004E0741"/>
    <w:rsid w:val="004E42A9"/>
    <w:rsid w:val="004F0F35"/>
    <w:rsid w:val="00504F90"/>
    <w:rsid w:val="0052181A"/>
    <w:rsid w:val="00591363"/>
    <w:rsid w:val="00592088"/>
    <w:rsid w:val="00596EDE"/>
    <w:rsid w:val="005B4A3A"/>
    <w:rsid w:val="005C19D5"/>
    <w:rsid w:val="005C1D28"/>
    <w:rsid w:val="005D6B42"/>
    <w:rsid w:val="00620A06"/>
    <w:rsid w:val="0062737A"/>
    <w:rsid w:val="00636288"/>
    <w:rsid w:val="00663548"/>
    <w:rsid w:val="00673030"/>
    <w:rsid w:val="006852C8"/>
    <w:rsid w:val="00691DC0"/>
    <w:rsid w:val="006A4334"/>
    <w:rsid w:val="006B0493"/>
    <w:rsid w:val="006B3E27"/>
    <w:rsid w:val="00753A44"/>
    <w:rsid w:val="007553DE"/>
    <w:rsid w:val="007C19B8"/>
    <w:rsid w:val="007D1B9F"/>
    <w:rsid w:val="007E3397"/>
    <w:rsid w:val="00801437"/>
    <w:rsid w:val="00845DFC"/>
    <w:rsid w:val="00847215"/>
    <w:rsid w:val="00886ADE"/>
    <w:rsid w:val="00895732"/>
    <w:rsid w:val="008D5A60"/>
    <w:rsid w:val="008E13BF"/>
    <w:rsid w:val="008E6756"/>
    <w:rsid w:val="00912705"/>
    <w:rsid w:val="00917441"/>
    <w:rsid w:val="00976AC5"/>
    <w:rsid w:val="009A24C1"/>
    <w:rsid w:val="009D4208"/>
    <w:rsid w:val="009D60C5"/>
    <w:rsid w:val="009F04D6"/>
    <w:rsid w:val="009F0867"/>
    <w:rsid w:val="00A03957"/>
    <w:rsid w:val="00A1602E"/>
    <w:rsid w:val="00A57958"/>
    <w:rsid w:val="00A665B9"/>
    <w:rsid w:val="00A84785"/>
    <w:rsid w:val="00AB7B78"/>
    <w:rsid w:val="00AC07E0"/>
    <w:rsid w:val="00AE2872"/>
    <w:rsid w:val="00AE4874"/>
    <w:rsid w:val="00AF34AD"/>
    <w:rsid w:val="00B02D74"/>
    <w:rsid w:val="00B041F0"/>
    <w:rsid w:val="00B27CA0"/>
    <w:rsid w:val="00B625F4"/>
    <w:rsid w:val="00B8777A"/>
    <w:rsid w:val="00B95DA1"/>
    <w:rsid w:val="00BB6D39"/>
    <w:rsid w:val="00C15A45"/>
    <w:rsid w:val="00C26CFC"/>
    <w:rsid w:val="00C27202"/>
    <w:rsid w:val="00C41D73"/>
    <w:rsid w:val="00C51035"/>
    <w:rsid w:val="00C60A2B"/>
    <w:rsid w:val="00C830E1"/>
    <w:rsid w:val="00CA664C"/>
    <w:rsid w:val="00CB3C10"/>
    <w:rsid w:val="00CB552C"/>
    <w:rsid w:val="00CF338C"/>
    <w:rsid w:val="00D25D86"/>
    <w:rsid w:val="00D712C7"/>
    <w:rsid w:val="00D71C61"/>
    <w:rsid w:val="00D876CE"/>
    <w:rsid w:val="00D92CEF"/>
    <w:rsid w:val="00D96AAE"/>
    <w:rsid w:val="00DA0983"/>
    <w:rsid w:val="00DB2754"/>
    <w:rsid w:val="00DC0022"/>
    <w:rsid w:val="00DE4EC6"/>
    <w:rsid w:val="00DF0C9E"/>
    <w:rsid w:val="00E05F77"/>
    <w:rsid w:val="00E41F5E"/>
    <w:rsid w:val="00E47558"/>
    <w:rsid w:val="00E5539F"/>
    <w:rsid w:val="00E6136D"/>
    <w:rsid w:val="00E77250"/>
    <w:rsid w:val="00EC53CC"/>
    <w:rsid w:val="00EE1D08"/>
    <w:rsid w:val="00F13BBC"/>
    <w:rsid w:val="00F3451B"/>
    <w:rsid w:val="00F51376"/>
    <w:rsid w:val="00F609C5"/>
    <w:rsid w:val="00F9639B"/>
    <w:rsid w:val="00FA0957"/>
    <w:rsid w:val="00FB67B1"/>
    <w:rsid w:val="00FC6938"/>
    <w:rsid w:val="00FE1D5E"/>
    <w:rsid w:val="00FE7318"/>
    <w:rsid w:val="1B9F0E8A"/>
    <w:rsid w:val="2E532469"/>
    <w:rsid w:val="4F667120"/>
    <w:rsid w:val="54C75908"/>
    <w:rsid w:val="7DDC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ED03F"/>
  <w15:docId w15:val="{7743AC15-7005-443A-A7DE-22F0E792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pPr>
      <w:jc w:val="left"/>
    </w:pPr>
  </w:style>
  <w:style w:type="paragraph" w:styleId="a5">
    <w:name w:val="Body Text"/>
    <w:basedOn w:val="a"/>
    <w:link w:val="a6"/>
    <w:unhideWhenUsed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0"/>
    <w:qFormat/>
    <w:rPr>
      <w:color w:val="800080" w:themeColor="followedHyperlink"/>
      <w:u w:val="single"/>
    </w:rPr>
  </w:style>
  <w:style w:type="character" w:styleId="ae">
    <w:name w:val="Hyperlink"/>
    <w:unhideWhenUsed/>
    <w:rPr>
      <w:color w:val="0000FF"/>
      <w:u w:val="single"/>
    </w:rPr>
  </w:style>
  <w:style w:type="character" w:styleId="af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6">
    <w:name w:val="正文文本 字符"/>
    <w:basedOn w:val="a0"/>
    <w:link w:val="a5"/>
    <w:qFormat/>
    <w:rPr>
      <w:rFonts w:ascii="宋体" w:hAnsi="宋体" w:cs="宋体"/>
      <w:sz w:val="24"/>
      <w:szCs w:val="24"/>
      <w:lang w:val="zh-CN" w:bidi="zh-CN"/>
    </w:rPr>
  </w:style>
  <w:style w:type="paragraph" w:customStyle="1" w:styleId="1">
    <w:name w:val="列出段落1"/>
    <w:basedOn w:val="a"/>
    <w:uiPriority w:val="1"/>
    <w:qFormat/>
    <w:pPr>
      <w:autoSpaceDE w:val="0"/>
      <w:autoSpaceDN w:val="0"/>
      <w:spacing w:before="125"/>
      <w:ind w:left="562" w:hanging="423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paragraph" w:styleId="af0">
    <w:name w:val="List Paragraph"/>
    <w:basedOn w:val="a"/>
    <w:uiPriority w:val="1"/>
    <w:qFormat/>
    <w:pPr>
      <w:ind w:firstLineChars="200" w:firstLine="420"/>
    </w:p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5C1D28"/>
    <w:rPr>
      <w:kern w:val="2"/>
      <w:sz w:val="21"/>
      <w:szCs w:val="24"/>
    </w:rPr>
  </w:style>
  <w:style w:type="paragraph" w:styleId="af2">
    <w:name w:val="annotation subject"/>
    <w:basedOn w:val="a3"/>
    <w:next w:val="a3"/>
    <w:link w:val="af3"/>
    <w:semiHidden/>
    <w:unhideWhenUsed/>
    <w:rsid w:val="005C1D28"/>
    <w:rPr>
      <w:b/>
      <w:bCs/>
    </w:rPr>
  </w:style>
  <w:style w:type="character" w:customStyle="1" w:styleId="a4">
    <w:name w:val="批注文字 字符"/>
    <w:basedOn w:val="a0"/>
    <w:link w:val="a3"/>
    <w:semiHidden/>
    <w:rsid w:val="005C1D28"/>
    <w:rPr>
      <w:kern w:val="2"/>
      <w:sz w:val="21"/>
      <w:szCs w:val="24"/>
    </w:rPr>
  </w:style>
  <w:style w:type="character" w:customStyle="1" w:styleId="af3">
    <w:name w:val="批注主题 字符"/>
    <w:basedOn w:val="a4"/>
    <w:link w:val="af2"/>
    <w:semiHidden/>
    <w:rsid w:val="005C1D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E2AE-66E5-466B-A54D-ADBEB2E9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338</Words>
  <Characters>1930</Characters>
  <Application>Microsoft Office Word</Application>
  <DocSecurity>0</DocSecurity>
  <Lines>16</Lines>
  <Paragraphs>4</Paragraphs>
  <ScaleCrop>false</ScaleCrop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丁丁</cp:lastModifiedBy>
  <cp:revision>22</cp:revision>
  <dcterms:created xsi:type="dcterms:W3CDTF">2022-10-11T04:15:00Z</dcterms:created>
  <dcterms:modified xsi:type="dcterms:W3CDTF">2022-10-17T00:25:00Z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83EC2F331FAE489D90B1AD638995FC1F</vt:lpwstr>
  </property>
</Properties>
</file>