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0" w:line="240" w:lineRule="auto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:lang w:val="en-US" w:eastAsia="zh-CN"/>
          <w14:ligatures w14:val="none"/>
        </w:rPr>
        <w:t>附件一</w:t>
      </w: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：辩论类比赛评分标准及说明</w:t>
      </w:r>
      <w:bookmarkStart w:id="0" w:name="_GoBack"/>
      <w:bookmarkEnd w:id="0"/>
    </w:p>
    <w:p>
      <w:pPr>
        <w:widowControl/>
        <w:shd w:val="clear" w:color="auto" w:fill="FFFFFF"/>
        <w:spacing w:after="0" w:line="240" w:lineRule="auto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1.审题（20%）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（1）辩题理解（10%）对所持立场能从逻辑、理论、事实等多层次、多角度理解，推理关系明晰，对对方的难点有较好的处理方法。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（2）辩题掌控（10%）始终坚持自己的立场，主动、准确、机智地反驳对方的观点，思路清晰，立场坚定、逻辑正确、应对自如。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2.论证（20%）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引述资料详实，论据充足，论证有说服力，推理过程合乎逻辑，事实、观点引用恰当。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3.辩驳（40%）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（1）辩论技巧(10%)立意明确，能旁征博引，举一反三，多角度、多层次阐述观点、应对诘问，表达有层次性、条理性。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（2）辩论规范(10%)抓住对方的要害，问题明了，在规定时间内提出问题，或回答对方问题。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（3）辩论语言(10%)语言流畅、用词得当、语调抑扬顿挫、语速适中，有幽默感。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（4）辩论风度（10%）表情、手势恰当、自然、大方；不强词夺理，尊重对方，尊重评委和观众，表现得体、落落大方。</w:t>
      </w:r>
    </w:p>
    <w:p>
      <w:pPr>
        <w:widowControl/>
        <w:shd w:val="clear" w:color="auto" w:fill="FFFFFF"/>
        <w:spacing w:after="0" w:line="240" w:lineRule="auto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4.配合（20%）</w:t>
      </w:r>
    </w:p>
    <w:p>
      <w:pPr>
        <w:widowControl/>
        <w:shd w:val="clear" w:color="auto" w:fill="FFFFFF"/>
        <w:spacing w:after="0" w:line="24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141D29"/>
          <w:kern w:val="0"/>
          <w:sz w:val="28"/>
          <w:szCs w:val="28"/>
          <w14:ligatures w14:val="none"/>
        </w:rPr>
        <w:t>有团队精神，能相互支持，论辩衔接流畅，自由辩论环节发言错落有致，回答形成一个有机整体，给对方以有力还击。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2E4B2"/>
    <w:multiLevelType w:val="multilevel"/>
    <w:tmpl w:val="3A12E4B2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ZTc4MmNkYTgwZmI3YzA5NjM5NTZmMmEyMjZjMjgifQ=="/>
  </w:docVars>
  <w:rsids>
    <w:rsidRoot w:val="31B61E7E"/>
    <w:rsid w:val="09AF7805"/>
    <w:rsid w:val="0F7B584E"/>
    <w:rsid w:val="1A840C29"/>
    <w:rsid w:val="1F705077"/>
    <w:rsid w:val="2134280A"/>
    <w:rsid w:val="26C92330"/>
    <w:rsid w:val="2B272A19"/>
    <w:rsid w:val="31B61E7E"/>
    <w:rsid w:val="345935E3"/>
    <w:rsid w:val="39111E53"/>
    <w:rsid w:val="49DE66BB"/>
    <w:rsid w:val="6315416A"/>
    <w:rsid w:val="6B0C0FC3"/>
    <w:rsid w:val="6F320729"/>
    <w:rsid w:val="769573A1"/>
    <w:rsid w:val="7951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432" w:hanging="432"/>
      <w:jc w:val="center"/>
      <w:outlineLvl w:val="0"/>
    </w:pPr>
    <w:rPr>
      <w:rFonts w:ascii="华文仿宋" w:hAnsi="华文仿宋" w:eastAsia="华文仿宋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华文仿宋" w:hAnsi="华文仿宋" w:eastAsia="华文仿宋" w:cs="Times New Roman"/>
      <w:b/>
      <w:sz w:val="32"/>
      <w:szCs w:val="2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rFonts w:ascii="仿宋_GB2312" w:hAnsi="仿宋_GB2312" w:eastAsia="仿宋_GB2312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pPr>
      <w:jc w:val="center"/>
    </w:pPr>
    <w:rPr>
      <w:rFonts w:ascii="仿宋_GB2312" w:hAnsi="仿宋_GB2312" w:eastAsia="仿宋_GB2312"/>
    </w:rPr>
  </w:style>
  <w:style w:type="character" w:customStyle="1" w:styleId="14">
    <w:name w:val="标题 2 Char"/>
    <w:link w:val="3"/>
    <w:uiPriority w:val="0"/>
    <w:rPr>
      <w:rFonts w:ascii="华文仿宋" w:hAnsi="华文仿宋" w:eastAsia="华文仿宋" w:cs="Times New Roman"/>
      <w:b/>
      <w:sz w:val="32"/>
      <w:szCs w:val="24"/>
    </w:rPr>
  </w:style>
  <w:style w:type="paragraph" w:customStyle="1" w:styleId="15">
    <w:name w:val="Table Text"/>
    <w:basedOn w:val="1"/>
    <w:autoRedefine/>
    <w:semiHidden/>
    <w:qFormat/>
    <w:uiPriority w:val="0"/>
    <w:pPr>
      <w:jc w:val="center"/>
    </w:pPr>
    <w:rPr>
      <w:rFonts w:ascii="仿宋_GB2312" w:hAnsi="仿宋_GB2312" w:eastAsia="仿宋_GB2312" w:cs="宋体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0</Lines>
  <Paragraphs>0</Paragraphs>
  <TotalTime>0</TotalTime>
  <ScaleCrop>false</ScaleCrop>
  <LinksUpToDate>false</LinksUpToDate>
  <CharactersWithSpaces>455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2024-04-18T04:14:00Z</dcterms:created>
  <dc:creator>草西</dc:creator>
  <cp:lastModifiedBy>草西</cp:lastModifiedBy>
  <dcterms:modified xsi:type="dcterms:W3CDTF">2024-04-18T04:15:41Z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EBFFD1AB0D5F4FA688211BDBB0667BF4_11</vt:lpwstr>
  </property>
</Properties>
</file>