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0" w:name="_GoBack"/>
      <w:bookmarkEnd w:id="0"/>
      <w:r>
        <w:rPr>
          <w:rFonts w:hint="eastAsia"/>
          <w:b/>
        </w:rPr>
        <w:t>附</w:t>
      </w:r>
      <w:r>
        <w:rPr>
          <w:b/>
        </w:rPr>
        <w:t xml:space="preserve">3 </w:t>
      </w:r>
    </w:p>
    <w:p>
      <w:pPr>
        <w:jc w:val="center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决赛评分参考标准</w:t>
      </w:r>
    </w:p>
    <w:p>
      <w:pPr>
        <w:jc w:val="center"/>
        <w:rPr>
          <w:b/>
        </w:rPr>
      </w:pPr>
    </w:p>
    <w:p>
      <w:pPr>
        <w:pStyle w:val="7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学前组</w:t>
      </w:r>
    </w:p>
    <w:p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一、说课（单项4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0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分）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内容：参赛选手根据抽定的教学活动内容进行说课。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2.评价标准见下表：</w:t>
      </w:r>
    </w:p>
    <w:tbl>
      <w:tblPr>
        <w:tblStyle w:val="4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28"/>
        <w:gridCol w:w="5597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</w:t>
            </w:r>
          </w:p>
        </w:tc>
        <w:tc>
          <w:tcPr>
            <w:tcW w:w="6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评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价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标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准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说课</w:t>
            </w:r>
          </w:p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</w:t>
            </w:r>
            <w:r>
              <w:rPr>
                <w:rFonts w:hint="default" w:ascii="宋体" w:hAnsi="宋体" w:eastAsia="宋体" w:cs="Times New Roman"/>
                <w:szCs w:val="21"/>
              </w:rPr>
              <w:t>内容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能清楚地表达对活动内容的分析与理解</w:t>
            </w:r>
          </w:p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2.能清晰地表达对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儿童特点的分析与理解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说</w:t>
            </w:r>
            <w:r>
              <w:rPr>
                <w:rFonts w:hint="eastAsia" w:ascii="宋体" w:hAnsi="宋体" w:eastAsia="宋体" w:cs="Times New Roman"/>
                <w:szCs w:val="21"/>
              </w:rPr>
              <w:t>目标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1.能清楚地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说明目标的具体内容及目标制定的理由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目标</w:t>
            </w:r>
            <w:r>
              <w:rPr>
                <w:rFonts w:hint="default" w:ascii="宋体" w:hAnsi="宋体" w:eastAsia="宋体" w:cs="Times New Roman"/>
                <w:szCs w:val="21"/>
              </w:rPr>
              <w:t>明确</w:t>
            </w:r>
            <w:r>
              <w:rPr>
                <w:rFonts w:hint="eastAsia" w:ascii="宋体" w:hAnsi="宋体" w:eastAsia="宋体" w:cs="Times New Roman"/>
                <w:szCs w:val="21"/>
              </w:rPr>
              <w:t>、具体、可操作</w:t>
            </w:r>
            <w:r>
              <w:rPr>
                <w:rFonts w:hint="default" w:ascii="宋体" w:hAnsi="宋体" w:eastAsia="宋体" w:cs="Times New Roman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符合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儿童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年龄特点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体现领域特点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说重难点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能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说明活动的重点或者难点及其理由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说过程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能清晰说明各环节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及设计的理由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2.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说明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活动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过程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完整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有逻辑、有层次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说方法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1.说明主要的教学⽅法 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2.说明选⽤或者设计教学⽅法的理由 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FF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语言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表现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语言表述清晰、流畅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仪态大方得体，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体态语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运用自然灵活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FF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FF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创意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  <w:lang w:eastAsia="zh-CN"/>
              </w:rPr>
              <w:t>儿童特征、领域特点和讲述者个性有机结合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3</w:t>
            </w:r>
          </w:p>
        </w:tc>
      </w:tr>
    </w:tbl>
    <w:p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二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基本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技能展示（共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40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分）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  <w:lang w:eastAsia="zh-Hans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一）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儿童故事讲述（单项1</w:t>
      </w:r>
      <w:r>
        <w:rPr>
          <w:rFonts w:hint="default" w:ascii="仿宋_GB2312" w:hAnsi="宋体" w:eastAsia="仿宋_GB2312" w:cs="宋体"/>
          <w:color w:val="000000"/>
          <w:kern w:val="0"/>
          <w:szCs w:val="21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分）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eastAsia="zh-Hans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内容：参赛选手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现场抽取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的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一则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儿童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故事进行讲述。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评价标准见下表：</w:t>
      </w:r>
    </w:p>
    <w:tbl>
      <w:tblPr>
        <w:tblStyle w:val="4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55"/>
        <w:gridCol w:w="6026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</w:p>
        </w:tc>
        <w:tc>
          <w:tcPr>
            <w:tcW w:w="718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评分标准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儿童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故事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讲述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基本功</w:t>
            </w:r>
          </w:p>
        </w:tc>
        <w:tc>
          <w:tcPr>
            <w:tcW w:w="6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 故事内容熟悉，形象解读和文本加工合理，情节完整。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 语音规范，吐字清晰，语流顺畅。</w:t>
            </w:r>
          </w:p>
        </w:tc>
        <w:tc>
          <w:tcPr>
            <w:tcW w:w="66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表现力</w:t>
            </w:r>
          </w:p>
        </w:tc>
        <w:tc>
          <w:tcPr>
            <w:tcW w:w="6026" w:type="dxa"/>
            <w:tcBorders>
              <w:top w:val="nil"/>
            </w:tcBorders>
            <w:vAlign w:val="top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 叙述语言和角色语言分明，声情并茂，富有感染力。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 仪态大方得体，态势语运用自然灵活。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创 意 </w:t>
            </w:r>
          </w:p>
        </w:tc>
        <w:tc>
          <w:tcPr>
            <w:tcW w:w="6026" w:type="dxa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儿童特点和讲述者的个性特点结合得恰到好处。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</w:tr>
    </w:tbl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二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）</w:t>
      </w:r>
      <w:r>
        <w:rPr>
          <w:rFonts w:hint="default" w:ascii="仿宋_GB2312" w:hAnsi="宋体" w:eastAsia="仿宋_GB2312" w:cs="宋体"/>
          <w:color w:val="000000"/>
          <w:kern w:val="0"/>
          <w:szCs w:val="21"/>
        </w:rPr>
        <w:t>儿童歌曲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弹唱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单项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15分）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1.内容：参赛选手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现场抽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定的儿童歌曲进行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边弹边唱。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2.评价标准见下表：</w:t>
      </w:r>
    </w:p>
    <w:tbl>
      <w:tblPr>
        <w:tblStyle w:val="4"/>
        <w:tblW w:w="86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6016"/>
        <w:gridCol w:w="6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</w:t>
            </w:r>
          </w:p>
        </w:tc>
        <w:tc>
          <w:tcPr>
            <w:tcW w:w="695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评  价  标  准</w:t>
            </w:r>
          </w:p>
        </w:tc>
        <w:tc>
          <w:tcPr>
            <w:tcW w:w="6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儿童歌曲弹唱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基本功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1.钢琴伴奏熟练、完整，歌曲旋律演奏准确，指法、和弦配置规范合理。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2.歌曲演唱完整，咬字吐字清晰，歌词准确无误，演唱气息规范、流畅，声音自然。</w:t>
            </w:r>
          </w:p>
        </w:tc>
        <w:tc>
          <w:tcPr>
            <w:tcW w:w="6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72" w:type="dxa"/>
            <w:vMerge w:val="continue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表现力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能准确地表达歌曲的内容及风格，歌曲情感处理恰当，表情自然，弹唱具有一定感染力。</w:t>
            </w:r>
          </w:p>
        </w:tc>
        <w:tc>
          <w:tcPr>
            <w:tcW w:w="6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72" w:type="dxa"/>
            <w:vMerge w:val="continue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创意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弹唱结合，歌曲特点和弹唱者个性特点结合，自然和谐流畅。</w:t>
            </w:r>
          </w:p>
        </w:tc>
        <w:tc>
          <w:tcPr>
            <w:tcW w:w="6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</w:tr>
    </w:tbl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儿童故事绘画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单项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default" w:ascii="仿宋_GB2312" w:hAnsi="宋体" w:eastAsia="仿宋_GB2312" w:cs="宋体"/>
          <w:color w:val="000000"/>
          <w:kern w:val="0"/>
          <w:szCs w:val="21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分）</w:t>
      </w:r>
    </w:p>
    <w:p>
      <w:pPr>
        <w:ind w:firstLine="525" w:firstLineChars="25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1.内容：参赛选手根据抽定的儿童故事的内容进行简笔画的表现，画幅8开，可上色，作画工具不限。</w:t>
      </w:r>
    </w:p>
    <w:p>
      <w:pPr>
        <w:spacing w:line="360" w:lineRule="exact"/>
        <w:ind w:left="560" w:firstLine="0" w:firstLineChars="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2.评价标准见下表：</w:t>
      </w:r>
    </w:p>
    <w:tbl>
      <w:tblPr>
        <w:tblStyle w:val="4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16"/>
        <w:gridCol w:w="5976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</w:t>
            </w:r>
          </w:p>
        </w:tc>
        <w:tc>
          <w:tcPr>
            <w:tcW w:w="709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评分标准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 w:eastAsia="zh-Han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Hans"/>
              </w:rPr>
              <w:t>儿童故事绘画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基本功</w:t>
            </w:r>
          </w:p>
        </w:tc>
        <w:tc>
          <w:tcPr>
            <w:tcW w:w="5976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画面能准确表达儿童故事的情节内容，构图均衡，主次分明，造型合理，色彩明快。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36" w:type="dxa"/>
            <w:vMerge w:val="continue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表现力</w:t>
            </w:r>
          </w:p>
        </w:tc>
        <w:tc>
          <w:tcPr>
            <w:tcW w:w="597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主体形象动态、表情生动夸张，组合关系得当，表现技法娴熟。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36" w:type="dxa"/>
            <w:vMerge w:val="continue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创意</w:t>
            </w:r>
          </w:p>
        </w:tc>
        <w:tc>
          <w:tcPr>
            <w:tcW w:w="597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画面造型与风格富有童趣，且具有一定的艺术特色。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2</w:t>
            </w:r>
          </w:p>
        </w:tc>
      </w:tr>
    </w:tbl>
    <w:p>
      <w:pPr>
        <w:spacing w:line="360" w:lineRule="exact"/>
        <w:ind w:firstLine="0" w:firstLineChars="0"/>
        <w:rPr>
          <w:rFonts w:hint="eastAsia" w:ascii="仿宋_GB2312" w:hAnsi="宋体" w:eastAsia="仿宋_GB2312" w:cs="宋体"/>
          <w:color w:val="000000"/>
          <w:kern w:val="0"/>
          <w:szCs w:val="21"/>
        </w:rPr>
      </w:pPr>
    </w:p>
    <w:p>
      <w:pPr>
        <w:spacing w:line="360" w:lineRule="exact"/>
        <w:ind w:firstLine="560" w:firstLineChars="20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三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、保教活动分析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（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单项20分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）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eastAsia="zh-Hans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zh-CN"/>
        </w:rPr>
        <w:t>内容：</w:t>
      </w:r>
      <w:r>
        <w:rPr>
          <w:rFonts w:hint="default" w:ascii="仿宋_GB2312" w:hAnsi="宋体" w:eastAsia="仿宋_GB2312" w:cs="宋体"/>
          <w:color w:val="000000"/>
          <w:kern w:val="0"/>
          <w:szCs w:val="21"/>
        </w:rPr>
        <w:t>参赛选手根据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抽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取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视频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的观看，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,对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视频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师幼互动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中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幼儿的心理发展,如认知、情感、意志等心理过程及个性、社会发展、学习心理等特点进行分析,并对教师的保教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行为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进行评价分析、提出建议。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  <w:lang w:val="zh-CN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zh-CN"/>
        </w:rPr>
        <w:t>评价标准：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116"/>
        <w:gridCol w:w="5722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项目</w:t>
            </w:r>
          </w:p>
        </w:tc>
        <w:tc>
          <w:tcPr>
            <w:tcW w:w="6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评分标准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保教活动分析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思维品质 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思维敏捷，逻辑清晰，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观点鲜明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分析透彻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内容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充实。</w:t>
            </w:r>
          </w:p>
          <w:p>
            <w:pPr>
              <w:ind w:firstLine="0" w:firstLineChars="0"/>
              <w:rPr>
                <w:rFonts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2.用词准确,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表达流畅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,能正确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清楚地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表达自己的想法。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教育理念 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1.具有科学儿童观,对幼儿心理发展水平或特点分析正确。 </w:t>
            </w:r>
          </w:p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2.具有科学教育观,教师观,能对教师的保教言行、职业道德作出正确的判断与分析,理由科学、充分,符合《纲要》及《指南》精神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教育建议 </w:t>
            </w:r>
          </w:p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1.建议正确合理,能促进保教工作的改进。 </w:t>
            </w:r>
          </w:p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2.建议具有针对性、科学性,且切实可行。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小 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二、其它组</w:t>
      </w:r>
    </w:p>
    <w:p>
      <w:pPr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（一）即席讲演（25分）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1.要求：根据抽取的试题进行讲演（英语组即席讲演要求用全英文），时间不超过3分钟。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2.评价标准： 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5787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讲演内容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主题鲜明切题，内容充实、针对性强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问题分析到位，解决策略得当、新颖，说服力强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论据贴切，符合实际，阐释充分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内容构架结构严谨、层次分明、条理清晰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语言艺术5分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普通话(英语发音)标准，用语规范，节奏处理得当，说服力强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思维艺术5分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思维敏捷，逻辑清晰；灵活而有效地调整、组织讲演内容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仪表形象5分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神态自然，动作适度，与讲演内容吻合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讲演时间2分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时间在2-3分钟之间，不超时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7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25</w:t>
            </w:r>
          </w:p>
        </w:tc>
      </w:tr>
    </w:tbl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（二）模拟上课（60分）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1.要求：根据准备的教学设计方案和课件进行模拟上课（板书在模拟上课中呈现），总时间不超过10分钟。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2.评价标准：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8"/>
        <w:gridCol w:w="6038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模拟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上课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45分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教学目标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目标设置明确，符合课标要求和学生实际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教学内容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教学方法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突出自主、探究、合作学习方式，体现多元化学习方法；实现有效师生互动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教学素质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教学效果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教学创新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板书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设计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内容匹配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构图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书写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8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 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60</w:t>
            </w:r>
          </w:p>
        </w:tc>
      </w:tr>
    </w:tbl>
    <w:p>
      <w:pPr>
        <w:rPr>
          <w:rFonts w:hint="eastAsia" w:asciiTheme="majorEastAsia" w:hAnsiTheme="majorEastAsia" w:eastAsiaTheme="majorEastAsia"/>
          <w:b/>
          <w:szCs w:val="21"/>
        </w:rPr>
      </w:pPr>
    </w:p>
    <w:p>
      <w:pPr>
        <w:rPr>
          <w:rFonts w:hint="eastAsia" w:asciiTheme="majorEastAsia" w:hAnsiTheme="majorEastAsia" w:eastAsiaTheme="majorEastAsia"/>
          <w:b/>
          <w:szCs w:val="21"/>
        </w:rPr>
      </w:pPr>
    </w:p>
    <w:p>
      <w:pPr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（三）现场答辩（15分）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1.要求：根据评委的提问即时作答，时间不超过3分钟。</w:t>
      </w:r>
    </w:p>
    <w:p>
      <w:pPr>
        <w:ind w:firstLine="20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  2.评价标准：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5866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准确性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准确理解问题，回答切中问题的要害与关键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灵活性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回答问题思维灵活，能用理论与事实说明问题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条理性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回答言简意赅，概括性强，条理清晰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流畅性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回答问题语言流畅，语速适中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7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</w:t>
            </w:r>
          </w:p>
        </w:tc>
      </w:tr>
    </w:tbl>
    <w:p/>
    <w:p>
      <w:pPr>
        <w:pStyle w:val="6"/>
        <w:snapToGrid w:val="0"/>
        <w:spacing w:line="400" w:lineRule="exact"/>
        <w:ind w:firstLine="560"/>
        <w:rPr>
          <w:rFonts w:ascii="Times New Roman" w:hAnsi="Times New Roman" w:eastAsia="仿宋"/>
          <w:sz w:val="28"/>
          <w:szCs w:val="2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30DCF"/>
    <w:multiLevelType w:val="multilevel"/>
    <w:tmpl w:val="1CD30DCF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F9826F"/>
    <w:multiLevelType w:val="singleLevel"/>
    <w:tmpl w:val="5EF9826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6C"/>
    <w:rsid w:val="00335B17"/>
    <w:rsid w:val="0034104F"/>
    <w:rsid w:val="005D05DE"/>
    <w:rsid w:val="007D24B9"/>
    <w:rsid w:val="00C52828"/>
    <w:rsid w:val="00CF0E3F"/>
    <w:rsid w:val="00D60332"/>
    <w:rsid w:val="00D7736C"/>
    <w:rsid w:val="00D84FD6"/>
    <w:rsid w:val="00DF0D5D"/>
    <w:rsid w:val="00F33FA2"/>
    <w:rsid w:val="01001675"/>
    <w:rsid w:val="0EE45356"/>
    <w:rsid w:val="3DDE6568"/>
    <w:rsid w:val="438025D3"/>
    <w:rsid w:val="546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列出段落2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328</Words>
  <Characters>1873</Characters>
  <Lines>15</Lines>
  <Paragraphs>4</Paragraphs>
  <TotalTime>0</TotalTime>
  <ScaleCrop>false</ScaleCrop>
  <LinksUpToDate>false</LinksUpToDate>
  <CharactersWithSpaces>2197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2017-06-20T00:35:00Z</dcterms:created>
  <dc:creator>微软用户</dc:creator>
  <cp:lastModifiedBy>hp</cp:lastModifiedBy>
  <dcterms:modified xsi:type="dcterms:W3CDTF">2021-07-14T13:21:13Z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855E2525081F42D99834A47FDB361E2E</vt:lpwstr>
  </property>
</Properties>
</file>