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A7" w:rsidRDefault="001C3AA7" w:rsidP="001C3AA7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“同花顺杯”</w:t>
      </w:r>
    </w:p>
    <w:p w:rsidR="001C3AA7" w:rsidRDefault="001C3AA7" w:rsidP="001C3AA7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第二届浙江省大学生证券投资竞赛</w:t>
      </w:r>
    </w:p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>
      <w:pPr>
        <w:jc w:val="center"/>
        <w:rPr>
          <w:rFonts w:ascii="宋体" w:hAnsi="宋体"/>
          <w:b/>
          <w:sz w:val="84"/>
          <w:szCs w:val="84"/>
        </w:rPr>
      </w:pPr>
    </w:p>
    <w:p w:rsidR="001C3AA7" w:rsidRPr="001C3AA7" w:rsidRDefault="001C3AA7" w:rsidP="001C3AA7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 xml:space="preserve">竞 赛 通 知 </w:t>
      </w:r>
      <w:r w:rsidRPr="001C3AA7">
        <w:rPr>
          <w:rFonts w:ascii="宋体" w:hAnsi="宋体" w:hint="eastAsia"/>
          <w:b/>
          <w:sz w:val="84"/>
          <w:szCs w:val="84"/>
        </w:rPr>
        <w:t>附 录</w:t>
      </w:r>
    </w:p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/>
    <w:p w:rsidR="001C3AA7" w:rsidRDefault="001C3AA7" w:rsidP="001C3AA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浙江省大学生科技竞赛委员会</w:t>
      </w:r>
    </w:p>
    <w:p w:rsidR="001C3AA7" w:rsidRDefault="001C3AA7" w:rsidP="001C3AA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2016年5月</w:t>
      </w:r>
    </w:p>
    <w:p w:rsidR="00185EEE" w:rsidRDefault="00185EEE" w:rsidP="001C3AA7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附录：</w:t>
      </w:r>
    </w:p>
    <w:p w:rsidR="00185EEE" w:rsidRDefault="00185EEE" w:rsidP="00185EEE">
      <w:pPr>
        <w:numPr>
          <w:ilvl w:val="0"/>
          <w:numId w:val="1"/>
        </w:numPr>
        <w:snapToGrid w:val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个人赛评分细则</w:t>
      </w:r>
    </w:p>
    <w:p w:rsidR="00185EEE" w:rsidRDefault="00185EEE" w:rsidP="00185EEE">
      <w:pPr>
        <w:numPr>
          <w:ilvl w:val="0"/>
          <w:numId w:val="2"/>
        </w:numPr>
        <w:spacing w:line="400" w:lineRule="exact"/>
        <w:ind w:leftChars="100" w:left="660" w:hangingChars="150" w:hanging="45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账号收益得分</w:t>
      </w:r>
    </w:p>
    <w:p w:rsidR="00185EEE" w:rsidRDefault="00185EEE" w:rsidP="00185EEE">
      <w:pPr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根据竞赛期间账号收益率高低排序，确定排名前100名为获奖范围，通过（100-0.5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宋体" w:hint="eastAsia"/>
          <w:kern w:val="0"/>
          <w:sz w:val="28"/>
          <w:szCs w:val="28"/>
        </w:rPr>
        <w:t>名次），转化为收益得分。</w:t>
      </w:r>
    </w:p>
    <w:p w:rsidR="00185EEE" w:rsidRDefault="00185EEE" w:rsidP="00185EEE">
      <w:pPr>
        <w:numPr>
          <w:ilvl w:val="0"/>
          <w:numId w:val="2"/>
        </w:numPr>
        <w:spacing w:line="400" w:lineRule="exact"/>
        <w:ind w:leftChars="100" w:left="660" w:hangingChars="150" w:hanging="45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账号收益稳定情况得分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对获奖范围内的参赛选手，根据竞赛期间账号每日收益的方差从低到高排序，通过（100-0.5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宋体" w:hint="eastAsia"/>
          <w:kern w:val="0"/>
          <w:sz w:val="28"/>
          <w:szCs w:val="28"/>
        </w:rPr>
        <w:t>名次），转化为收益稳定情况得分。</w:t>
      </w:r>
    </w:p>
    <w:p w:rsidR="00384867" w:rsidRDefault="00185EEE" w:rsidP="00384867">
      <w:pPr>
        <w:numPr>
          <w:ilvl w:val="0"/>
          <w:numId w:val="2"/>
        </w:numPr>
        <w:spacing w:line="400" w:lineRule="exact"/>
        <w:ind w:leftChars="100" w:left="660" w:hangingChars="150" w:hanging="45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个人赛最终得分</w:t>
      </w:r>
    </w:p>
    <w:p w:rsidR="00384867" w:rsidRPr="00384867" w:rsidRDefault="00384867" w:rsidP="00384867">
      <w:pPr>
        <w:spacing w:line="400" w:lineRule="exact"/>
        <w:ind w:leftChars="100" w:left="210" w:firstLineChars="100" w:firstLine="280"/>
        <w:rPr>
          <w:rFonts w:ascii="宋体" w:hAnsi="宋体" w:cs="宋体" w:hint="eastAsia"/>
          <w:kern w:val="0"/>
          <w:sz w:val="30"/>
          <w:szCs w:val="30"/>
        </w:rPr>
      </w:pPr>
      <w:r w:rsidRPr="00384867">
        <w:rPr>
          <w:rFonts w:ascii="宋体" w:hAnsi="宋体" w:cs="宋体" w:hint="eastAsia"/>
          <w:kern w:val="0"/>
          <w:sz w:val="28"/>
          <w:szCs w:val="28"/>
        </w:rPr>
        <w:t>个人赛最终得分=收益得分</w:t>
      </w:r>
      <w:r w:rsidRPr="00384867">
        <w:rPr>
          <w:rFonts w:ascii="宋体" w:hAnsi="宋体" w:cs="仿宋" w:hint="eastAsia"/>
          <w:kern w:val="0"/>
          <w:sz w:val="24"/>
        </w:rPr>
        <w:t>×</w:t>
      </w:r>
      <w:r w:rsidRPr="00384867">
        <w:rPr>
          <w:rFonts w:ascii="宋体" w:hAnsi="宋体" w:cs="宋体" w:hint="eastAsia"/>
          <w:kern w:val="0"/>
          <w:sz w:val="28"/>
          <w:szCs w:val="28"/>
        </w:rPr>
        <w:t>80%+收益稳定情况得分</w:t>
      </w:r>
      <w:r w:rsidRPr="00384867">
        <w:rPr>
          <w:rFonts w:ascii="宋体" w:hAnsi="宋体" w:cs="仿宋" w:hint="eastAsia"/>
          <w:kern w:val="0"/>
          <w:sz w:val="24"/>
        </w:rPr>
        <w:t>×</w:t>
      </w:r>
      <w:r w:rsidRPr="00384867">
        <w:rPr>
          <w:rFonts w:ascii="宋体" w:hAnsi="宋体" w:cs="宋体" w:hint="eastAsia"/>
          <w:kern w:val="0"/>
          <w:sz w:val="28"/>
          <w:szCs w:val="28"/>
        </w:rPr>
        <w:t>19%+投资逻辑测试参与情况得分</w:t>
      </w:r>
      <w:r w:rsidRPr="00384867">
        <w:rPr>
          <w:rFonts w:ascii="宋体" w:hAnsi="宋体" w:cs="仿宋" w:hint="eastAsia"/>
          <w:kern w:val="0"/>
          <w:sz w:val="24"/>
        </w:rPr>
        <w:t>×</w:t>
      </w:r>
      <w:r w:rsidRPr="00384867">
        <w:rPr>
          <w:rFonts w:ascii="宋体" w:hAnsi="宋体" w:cs="宋体" w:hint="eastAsia"/>
          <w:kern w:val="0"/>
          <w:sz w:val="28"/>
          <w:szCs w:val="28"/>
        </w:rPr>
        <w:t>1%</w:t>
      </w:r>
    </w:p>
    <w:p w:rsidR="00384867" w:rsidRDefault="00384867" w:rsidP="00384867">
      <w:pPr>
        <w:numPr>
          <w:ilvl w:val="0"/>
          <w:numId w:val="2"/>
        </w:numPr>
        <w:spacing w:line="400" w:lineRule="exact"/>
        <w:ind w:left="660" w:hanging="45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个人赛账号最低交易额</w:t>
      </w:r>
    </w:p>
    <w:p w:rsidR="00384867" w:rsidRPr="00384867" w:rsidRDefault="00384867" w:rsidP="00384867">
      <w:pPr>
        <w:spacing w:line="400" w:lineRule="exact"/>
        <w:ind w:leftChars="100" w:left="210" w:firstLineChars="100" w:firstLine="3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个人赛账号</w:t>
      </w:r>
      <w:r>
        <w:rPr>
          <w:rFonts w:ascii="宋体" w:hAnsi="宋体" w:cs="宋体" w:hint="eastAsia"/>
          <w:kern w:val="0"/>
          <w:sz w:val="30"/>
          <w:szCs w:val="30"/>
        </w:rPr>
        <w:t>设</w:t>
      </w:r>
      <w:r>
        <w:rPr>
          <w:rFonts w:ascii="宋体" w:hAnsi="宋体" w:cs="宋体" w:hint="eastAsia"/>
          <w:kern w:val="0"/>
          <w:sz w:val="30"/>
          <w:szCs w:val="30"/>
        </w:rPr>
        <w:t>最低交易额</w:t>
      </w:r>
      <w:r w:rsidR="00FE326E">
        <w:rPr>
          <w:rFonts w:ascii="宋体" w:hAnsi="宋体" w:cs="宋体" w:hint="eastAsia"/>
          <w:kern w:val="0"/>
          <w:sz w:val="30"/>
          <w:szCs w:val="30"/>
        </w:rPr>
        <w:t>：</w:t>
      </w:r>
      <w:bookmarkStart w:id="0" w:name="_GoBack"/>
      <w:bookmarkEnd w:id="0"/>
      <w:r w:rsidRPr="00384867">
        <w:rPr>
          <w:rFonts w:ascii="宋体" w:hAnsi="宋体" w:cs="宋体" w:hint="eastAsia"/>
          <w:kern w:val="0"/>
          <w:sz w:val="30"/>
          <w:szCs w:val="30"/>
        </w:rPr>
        <w:t>沪深A</w:t>
      </w:r>
      <w:proofErr w:type="gramStart"/>
      <w:r w:rsidRPr="00384867">
        <w:rPr>
          <w:rFonts w:ascii="宋体" w:hAnsi="宋体" w:cs="宋体" w:hint="eastAsia"/>
          <w:kern w:val="0"/>
          <w:sz w:val="30"/>
          <w:szCs w:val="30"/>
        </w:rPr>
        <w:t>股</w:t>
      </w:r>
      <w:r>
        <w:rPr>
          <w:rFonts w:ascii="宋体" w:hAnsi="宋体" w:cs="宋体" w:hint="eastAsia"/>
          <w:kern w:val="0"/>
          <w:sz w:val="30"/>
          <w:szCs w:val="30"/>
        </w:rPr>
        <w:t>组账号</w:t>
      </w:r>
      <w:proofErr w:type="gramEnd"/>
      <w:r>
        <w:rPr>
          <w:rFonts w:ascii="宋体" w:hAnsi="宋体" w:cs="宋体" w:hint="eastAsia"/>
          <w:kern w:val="0"/>
          <w:sz w:val="30"/>
          <w:szCs w:val="30"/>
        </w:rPr>
        <w:t>最低交易额为300万，</w:t>
      </w:r>
      <w:r w:rsidRPr="00384867">
        <w:rPr>
          <w:rFonts w:ascii="宋体" w:hAnsi="宋体" w:cs="宋体" w:hint="eastAsia"/>
          <w:kern w:val="0"/>
          <w:sz w:val="30"/>
          <w:szCs w:val="30"/>
        </w:rPr>
        <w:t>股指期货</w:t>
      </w:r>
      <w:r>
        <w:rPr>
          <w:rFonts w:ascii="宋体" w:hAnsi="宋体" w:cs="宋体" w:hint="eastAsia"/>
          <w:kern w:val="0"/>
          <w:sz w:val="30"/>
          <w:szCs w:val="30"/>
        </w:rPr>
        <w:t>组账号最低交易额为1000万，</w:t>
      </w:r>
      <w:r w:rsidRPr="00384867">
        <w:rPr>
          <w:rFonts w:ascii="宋体" w:hAnsi="宋体" w:cs="宋体" w:hint="eastAsia"/>
          <w:kern w:val="0"/>
          <w:sz w:val="30"/>
          <w:szCs w:val="30"/>
        </w:rPr>
        <w:t>证券基金</w:t>
      </w:r>
      <w:r>
        <w:rPr>
          <w:rFonts w:ascii="宋体" w:hAnsi="宋体" w:cs="宋体" w:hint="eastAsia"/>
          <w:kern w:val="0"/>
          <w:sz w:val="30"/>
          <w:szCs w:val="30"/>
        </w:rPr>
        <w:t>组账号最低交易额为200万。账号交易额不得低于最低交易额。</w:t>
      </w:r>
    </w:p>
    <w:p w:rsidR="00384867" w:rsidRDefault="00384867" w:rsidP="00185EEE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185EEE" w:rsidRDefault="00185EEE" w:rsidP="00185EEE">
      <w:pPr>
        <w:numPr>
          <w:ilvl w:val="0"/>
          <w:numId w:val="1"/>
        </w:numPr>
        <w:snapToGrid w:val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团队赛评分细则</w:t>
      </w: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60" w:hangingChars="150" w:hanging="450"/>
        <w:rPr>
          <w:rFonts w:ascii="宋体" w:hAnsi="宋体" w:cs="仿宋"/>
          <w:kern w:val="0"/>
          <w:sz w:val="30"/>
          <w:szCs w:val="30"/>
        </w:rPr>
      </w:pPr>
      <w:r>
        <w:rPr>
          <w:rFonts w:ascii="宋体" w:hAnsi="宋体" w:cs="仿宋" w:hint="eastAsia"/>
          <w:kern w:val="0"/>
          <w:sz w:val="30"/>
          <w:szCs w:val="30"/>
        </w:rPr>
        <w:t>投资策略组账号收益得分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根据竞赛期间账号收益率高低排序，通过（100-0.5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名次）的计算方法转化为收益得分。</w:t>
      </w: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60" w:hangingChars="150" w:hanging="450"/>
        <w:rPr>
          <w:rFonts w:ascii="宋体" w:hAnsi="宋体" w:cs="仿宋"/>
          <w:kern w:val="0"/>
          <w:sz w:val="30"/>
          <w:szCs w:val="30"/>
        </w:rPr>
      </w:pPr>
      <w:r>
        <w:rPr>
          <w:rFonts w:ascii="宋体" w:hAnsi="宋体" w:cs="仿宋" w:hint="eastAsia"/>
          <w:kern w:val="0"/>
          <w:sz w:val="30"/>
          <w:szCs w:val="30"/>
        </w:rPr>
        <w:t>投资策略组报告评分细则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初赛阶段，专家组评委根据下表对团队提交的初步投资报告进行评分。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决赛阶段，评委根据下表对团队提交的最终投资报告进行评分，按权重计入团队最终得分。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660"/>
        <w:gridCol w:w="1125"/>
      </w:tblGrid>
      <w:tr w:rsidR="00185EEE" w:rsidTr="00C54CF2">
        <w:trPr>
          <w:trHeight w:val="60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报告评分要点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185EEE" w:rsidTr="00C54CF2">
        <w:trPr>
          <w:trHeight w:val="59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4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目的明确，具有重要的理论意义和现实意义。能结合所学的课程知识，有很强的能力训练效果。（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:rsidR="00185EEE" w:rsidRDefault="00185EEE" w:rsidP="00185EEE">
            <w:pPr>
              <w:numPr>
                <w:ilvl w:val="0"/>
                <w:numId w:val="4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目的比较明确，具有一定的理论意义和现实意义。能结合所学的课程知识，有一定的能力训练效果。（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:rsidR="00185EEE" w:rsidRDefault="00185EEE" w:rsidP="00185EEE">
            <w:pPr>
              <w:numPr>
                <w:ilvl w:val="0"/>
                <w:numId w:val="4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目的欠明确，具有理论意义和现实意义。能结合所学的课程知识，有能力训练效果。（0-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882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能力水平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总分45分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5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能熟练运用所学知识，充分分析、运用学界的经典前沿资料，有很强的查阅文献及运用文献资料的能力。（11-15分）</w:t>
            </w:r>
          </w:p>
          <w:p w:rsidR="00185EEE" w:rsidRDefault="00185EEE" w:rsidP="00185EEE">
            <w:pPr>
              <w:numPr>
                <w:ilvl w:val="0"/>
                <w:numId w:val="5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能够运用一些相关的研究材料，有一定的查阅文献及运用文献资料的能力。（6-10分）</w:t>
            </w:r>
          </w:p>
          <w:p w:rsidR="00185EEE" w:rsidRDefault="00185EEE" w:rsidP="00185EEE">
            <w:pPr>
              <w:numPr>
                <w:ilvl w:val="0"/>
                <w:numId w:val="5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资料较欠缺，经典和前沿性差，查阅及运用文献资料不足。（0-5分）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6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理论依据充分，数据准确。（11-15分）</w:t>
            </w:r>
          </w:p>
          <w:p w:rsidR="00185EEE" w:rsidRDefault="00185EEE" w:rsidP="00185EEE">
            <w:pPr>
              <w:numPr>
                <w:ilvl w:val="0"/>
                <w:numId w:val="6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理论依据较充分，数据较准确。（6-10分）</w:t>
            </w:r>
          </w:p>
          <w:p w:rsidR="00185EEE" w:rsidRDefault="00185EEE" w:rsidP="00185EEE">
            <w:pPr>
              <w:numPr>
                <w:ilvl w:val="0"/>
                <w:numId w:val="6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理论依据欠缺，数据准确度较差。（0-5分）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7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报告结论具有一定水平，完成策略设计，得出创造性结论，在某些领域获得初步进展，具有一定的学术和使用价值，体现出很好的水平。（11-15分）</w:t>
            </w:r>
          </w:p>
          <w:p w:rsidR="00185EEE" w:rsidRDefault="00185EEE" w:rsidP="00185EEE">
            <w:pPr>
              <w:numPr>
                <w:ilvl w:val="0"/>
                <w:numId w:val="7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提出创新策略，但具体思路仍有考虑不周之处。（6-10分）</w:t>
            </w:r>
          </w:p>
          <w:p w:rsidR="00185EEE" w:rsidRDefault="00185EEE" w:rsidP="00185EEE">
            <w:pPr>
              <w:numPr>
                <w:ilvl w:val="0"/>
                <w:numId w:val="7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策略构建基本没有创新性。（0-5分）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998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成果质量</w:t>
            </w:r>
          </w:p>
          <w:p w:rsidR="00185EEE" w:rsidRDefault="00185EEE" w:rsidP="00C54CF2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总分45分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报告内容要求策略构建思路清晰，策略完整有效、实事求是。必须围绕选择的策略方向进行研究。（0-5分）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1598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策略思路合理，各项指标、结论符合要求。（8-10分）</w:t>
            </w:r>
          </w:p>
          <w:p w:rsidR="00185EEE" w:rsidRDefault="00185EEE" w:rsidP="00185EEE">
            <w:pPr>
              <w:numPr>
                <w:ilvl w:val="0"/>
                <w:numId w:val="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策略思路较合理，各项指标、结论较符合要求。（5-7分）</w:t>
            </w:r>
          </w:p>
          <w:p w:rsidR="00185EEE" w:rsidRDefault="00185EEE" w:rsidP="00185EEE">
            <w:pPr>
              <w:numPr>
                <w:ilvl w:val="0"/>
                <w:numId w:val="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策略思路欠缺合理性，各项指标、结论与要求有差距。（0-4分）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9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摘要叙述简练完整，假设合理、问题分析正确、数学或金融用语准确、结构完整，逻辑性严密，层次清晰。（11-15分）</w:t>
            </w:r>
          </w:p>
          <w:p w:rsidR="00185EEE" w:rsidRDefault="00185EEE" w:rsidP="00185EEE">
            <w:pPr>
              <w:numPr>
                <w:ilvl w:val="0"/>
                <w:numId w:val="9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摘要叙述较完整，</w:t>
            </w:r>
            <w:proofErr w:type="gramStart"/>
            <w:r>
              <w:rPr>
                <w:rFonts w:ascii="宋体" w:hAnsi="宋体" w:hint="eastAsia"/>
                <w:szCs w:val="21"/>
              </w:rPr>
              <w:t>假设较</w:t>
            </w:r>
            <w:proofErr w:type="gramEnd"/>
            <w:r>
              <w:rPr>
                <w:rFonts w:ascii="宋体" w:hAnsi="宋体" w:hint="eastAsia"/>
                <w:szCs w:val="21"/>
              </w:rPr>
              <w:t>合理、问题分析较正确、数学或金融用语较准确、结构较完整，有一定的逻辑性和层次性。（6-10分）</w:t>
            </w:r>
          </w:p>
          <w:p w:rsidR="00185EEE" w:rsidRDefault="00185EEE" w:rsidP="00185EEE">
            <w:pPr>
              <w:numPr>
                <w:ilvl w:val="0"/>
                <w:numId w:val="9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摘要叙述较完整，</w:t>
            </w:r>
            <w:proofErr w:type="gramStart"/>
            <w:r>
              <w:rPr>
                <w:rFonts w:ascii="宋体" w:hAnsi="宋体" w:hint="eastAsia"/>
                <w:szCs w:val="21"/>
              </w:rPr>
              <w:t>假设较</w:t>
            </w:r>
            <w:proofErr w:type="gramEnd"/>
            <w:r>
              <w:rPr>
                <w:rFonts w:ascii="宋体" w:hAnsi="宋体" w:hint="eastAsia"/>
                <w:szCs w:val="21"/>
              </w:rPr>
              <w:t>合理、问题分析较正确、数学或金融用语较准确，结构线完整，逻辑不够严密，层次不够清晰。（0-5分）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0"/>
              </w:numPr>
              <w:snapToGrid w:val="0"/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研究报告主要构成部分齐全、合理规范，符号统一，编号齐全。格式，绘图、表格、插图等规范正确，符合论文要求。（8-10分）</w:t>
            </w:r>
          </w:p>
          <w:p w:rsidR="00185EEE" w:rsidRDefault="00185EEE" w:rsidP="00185EEE">
            <w:pPr>
              <w:numPr>
                <w:ilvl w:val="0"/>
                <w:numId w:val="10"/>
              </w:numPr>
              <w:snapToGrid w:val="0"/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基本达到1中的要求。（5-7分）</w:t>
            </w:r>
          </w:p>
          <w:p w:rsidR="00185EEE" w:rsidRDefault="00185EEE" w:rsidP="00185EEE">
            <w:pPr>
              <w:numPr>
                <w:ilvl w:val="0"/>
                <w:numId w:val="10"/>
              </w:numPr>
              <w:snapToGrid w:val="0"/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尚能达到1中的要求。（0-4分）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580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字数不少于1000字，不超过20000字。(0-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108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程序分</w:t>
            </w:r>
          </w:p>
          <w:p w:rsidR="00185EEE" w:rsidRDefault="00185EEE" w:rsidP="00C54CF2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总分5分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能使用软件编程帮助完成部分策略编写。(0-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总分（1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85EEE" w:rsidRDefault="00185EEE" w:rsidP="00185EEE">
      <w:pPr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参赛队伍的投资报告成绩按照以下公式计算：</w:t>
      </w:r>
    </w:p>
    <w:p w:rsidR="00185EEE" w:rsidRDefault="00185EEE" w:rsidP="00185EEE">
      <w:pPr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最终报告成绩＝本队报告成绩×（全体参赛队伍报告平均成绩／所在评分专家组报告平均成绩）</w:t>
      </w:r>
    </w:p>
    <w:p w:rsidR="00185EEE" w:rsidRDefault="00185EEE" w:rsidP="00185EEE">
      <w:pPr>
        <w:snapToGrid w:val="0"/>
        <w:spacing w:line="400" w:lineRule="exact"/>
        <w:jc w:val="left"/>
        <w:rPr>
          <w:rFonts w:ascii="宋体" w:hAnsi="宋体"/>
          <w:bCs/>
          <w:sz w:val="28"/>
          <w:szCs w:val="28"/>
        </w:rPr>
      </w:pP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60" w:hangingChars="150" w:hanging="450"/>
        <w:rPr>
          <w:rFonts w:ascii="宋体" w:hAnsi="宋体" w:cs="仿宋"/>
          <w:kern w:val="0"/>
          <w:sz w:val="30"/>
          <w:szCs w:val="30"/>
        </w:rPr>
      </w:pPr>
      <w:r>
        <w:rPr>
          <w:rFonts w:ascii="宋体" w:hAnsi="宋体" w:cs="仿宋" w:hint="eastAsia"/>
          <w:kern w:val="0"/>
          <w:sz w:val="30"/>
          <w:szCs w:val="30"/>
        </w:rPr>
        <w:t>量化交易组实测收益评分细则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实测收益得分=（资金收益率×0.8-最大回撤×0.2）×100</w:t>
      </w:r>
    </w:p>
    <w:p w:rsidR="00185EEE" w:rsidRDefault="00185EEE" w:rsidP="00185EEE">
      <w:pPr>
        <w:snapToGrid w:val="0"/>
        <w:ind w:firstLineChars="200" w:firstLine="260"/>
        <w:rPr>
          <w:rFonts w:ascii="宋体" w:hAnsi="宋体" w:cs="宋体"/>
          <w:kern w:val="0"/>
          <w:sz w:val="13"/>
          <w:szCs w:val="13"/>
        </w:rPr>
      </w:pPr>
    </w:p>
    <w:p w:rsidR="00185EEE" w:rsidRDefault="00185EEE" w:rsidP="00185EEE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最大回撤说明：</w:t>
      </w:r>
    </w:p>
    <w:p w:rsidR="00185EEE" w:rsidRDefault="00185EEE" w:rsidP="00185EEE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最大回撤：以每日结算后资金账号总资金为时间序列样本，在竞赛周期内任</w:t>
      </w:r>
      <w:proofErr w:type="gramStart"/>
      <w:r>
        <w:rPr>
          <w:rFonts w:ascii="宋体" w:hAnsi="宋体" w:cs="宋体" w:hint="eastAsia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kern w:val="0"/>
          <w:sz w:val="24"/>
        </w:rPr>
        <w:t>历史</w:t>
      </w:r>
      <w:proofErr w:type="gramStart"/>
      <w:r>
        <w:rPr>
          <w:rFonts w:ascii="宋体" w:hAnsi="宋体" w:cs="宋体" w:hint="eastAsia"/>
          <w:kern w:val="0"/>
          <w:sz w:val="24"/>
        </w:rPr>
        <w:t>时点往</w:t>
      </w:r>
      <w:proofErr w:type="gramEnd"/>
      <w:r>
        <w:rPr>
          <w:rFonts w:ascii="宋体" w:hAnsi="宋体" w:cs="宋体" w:hint="eastAsia"/>
          <w:kern w:val="0"/>
          <w:sz w:val="24"/>
        </w:rPr>
        <w:t>后退，样本点走到最低点时的回撤幅度的最大值。例如初始资金为100万，5个交易日结算后资金账号总资金为：</w:t>
      </w:r>
    </w:p>
    <w:p w:rsidR="00185EEE" w:rsidRDefault="00185EEE" w:rsidP="00185EEE">
      <w:pPr>
        <w:ind w:firstLineChars="200" w:firstLine="300"/>
        <w:rPr>
          <w:rFonts w:ascii="宋体" w:hAnsi="宋体" w:cs="宋体"/>
          <w:kern w:val="0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2184"/>
      </w:tblGrid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交易日</w:t>
            </w:r>
          </w:p>
        </w:tc>
        <w:tc>
          <w:tcPr>
            <w:tcW w:w="2184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结算后总资金</w:t>
            </w:r>
          </w:p>
        </w:tc>
      </w:tr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84" w:type="dxa"/>
            <w:vAlign w:val="center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</w:tr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84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</w:tr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84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</w:tr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84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185EEE" w:rsidTr="00C54CF2">
        <w:trPr>
          <w:jc w:val="center"/>
        </w:trPr>
        <w:tc>
          <w:tcPr>
            <w:tcW w:w="1896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84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</w:tr>
    </w:tbl>
    <w:p w:rsidR="00185EEE" w:rsidRDefault="00185EEE" w:rsidP="00185EEE">
      <w:pPr>
        <w:snapToGrid w:val="0"/>
        <w:spacing w:line="8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则每个交易日回撤为：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520"/>
      </w:tblGrid>
      <w:tr w:rsidR="00185EEE" w:rsidTr="00C54CF2">
        <w:trPr>
          <w:jc w:val="center"/>
        </w:trPr>
        <w:tc>
          <w:tcPr>
            <w:tcW w:w="1875" w:type="dxa"/>
            <w:vAlign w:val="center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交易日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回撤</w:t>
            </w:r>
          </w:p>
        </w:tc>
      </w:tr>
      <w:tr w:rsidR="00185EEE" w:rsidTr="00C54CF2">
        <w:trPr>
          <w:jc w:val="center"/>
        </w:trPr>
        <w:tc>
          <w:tcPr>
            <w:tcW w:w="1875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0/110=0.00%</w:t>
            </w:r>
          </w:p>
        </w:tc>
      </w:tr>
      <w:tr w:rsidR="00185EEE" w:rsidTr="00C54CF2">
        <w:trPr>
          <w:jc w:val="center"/>
        </w:trPr>
        <w:tc>
          <w:tcPr>
            <w:tcW w:w="1875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30/150=20.00%</w:t>
            </w:r>
          </w:p>
        </w:tc>
      </w:tr>
      <w:tr w:rsidR="00185EEE" w:rsidTr="00C54CF2">
        <w:trPr>
          <w:jc w:val="center"/>
        </w:trPr>
        <w:tc>
          <w:tcPr>
            <w:tcW w:w="1875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10/130=7.69%</w:t>
            </w:r>
          </w:p>
        </w:tc>
      </w:tr>
      <w:tr w:rsidR="00185EEE" w:rsidTr="00C54CF2">
        <w:trPr>
          <w:jc w:val="center"/>
        </w:trPr>
        <w:tc>
          <w:tcPr>
            <w:tcW w:w="1875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180/300=60.00%</w:t>
            </w:r>
          </w:p>
        </w:tc>
      </w:tr>
      <w:tr w:rsidR="00185EEE" w:rsidTr="00C54CF2">
        <w:trPr>
          <w:jc w:val="center"/>
        </w:trPr>
        <w:tc>
          <w:tcPr>
            <w:tcW w:w="1875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20" w:type="dxa"/>
          </w:tcPr>
          <w:p w:rsidR="00185EEE" w:rsidRDefault="00185EEE" w:rsidP="00C54CF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0/120=0.00%</w:t>
            </w:r>
          </w:p>
        </w:tc>
      </w:tr>
    </w:tbl>
    <w:p w:rsidR="00185EEE" w:rsidRDefault="00185EEE" w:rsidP="00185EEE">
      <w:pPr>
        <w:snapToGrid w:val="0"/>
        <w:spacing w:line="8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因此最大回撤为60.00%</w:t>
      </w:r>
    </w:p>
    <w:p w:rsidR="00185EEE" w:rsidRDefault="00185EEE" w:rsidP="00185EEE">
      <w:pPr>
        <w:spacing w:line="400" w:lineRule="exact"/>
        <w:rPr>
          <w:rFonts w:ascii="宋体" w:hAnsi="宋体" w:cs="仿宋"/>
          <w:kern w:val="0"/>
          <w:sz w:val="32"/>
          <w:szCs w:val="28"/>
        </w:rPr>
      </w:pPr>
    </w:p>
    <w:p w:rsidR="002A648E" w:rsidRDefault="002A648E" w:rsidP="00185EEE">
      <w:pPr>
        <w:spacing w:line="400" w:lineRule="exact"/>
        <w:rPr>
          <w:rFonts w:ascii="宋体" w:hAnsi="宋体" w:cs="仿宋"/>
          <w:kern w:val="0"/>
          <w:sz w:val="32"/>
          <w:szCs w:val="28"/>
        </w:rPr>
      </w:pP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60" w:hangingChars="150" w:hanging="450"/>
        <w:rPr>
          <w:rFonts w:ascii="宋体" w:hAnsi="宋体" w:cs="仿宋"/>
          <w:kern w:val="0"/>
          <w:sz w:val="30"/>
          <w:szCs w:val="30"/>
        </w:rPr>
      </w:pPr>
      <w:r>
        <w:rPr>
          <w:rFonts w:ascii="宋体" w:hAnsi="宋体" w:cs="仿宋" w:hint="eastAsia"/>
          <w:kern w:val="0"/>
          <w:sz w:val="30"/>
          <w:szCs w:val="30"/>
        </w:rPr>
        <w:lastRenderedPageBreak/>
        <w:t>量化交易报告评分细则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初赛阶段，专家组评委根据下表对团队提交的初步投资报告进行评分。</w:t>
      </w:r>
    </w:p>
    <w:p w:rsidR="00185EEE" w:rsidRDefault="00185EEE" w:rsidP="00185EEE">
      <w:pPr>
        <w:spacing w:line="400" w:lineRule="exact"/>
        <w:ind w:firstLineChars="200" w:firstLine="560"/>
        <w:rPr>
          <w:rFonts w:ascii="宋体" w:hAnsi="宋体" w:cs="仿宋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决赛阶段，评委根据下表对团队提交的最终投资报告进行评分，按权重计入团队最终得分。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660"/>
        <w:gridCol w:w="1125"/>
      </w:tblGrid>
      <w:tr w:rsidR="00185EEE" w:rsidTr="00C54CF2">
        <w:trPr>
          <w:trHeight w:val="60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报告评分要点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185EEE" w:rsidTr="00C54CF2">
        <w:trPr>
          <w:trHeight w:val="59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1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目的明确，具有重要的理论意义和现实意义。能结合所学的课程知识，有很强的能力训练效果。（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:rsidR="00185EEE" w:rsidRDefault="00185EEE" w:rsidP="00185EEE">
            <w:pPr>
              <w:numPr>
                <w:ilvl w:val="0"/>
                <w:numId w:val="11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目的比较明确，具有一定的理论意义和现实意义。能结合所学的课程知识，有一定的能力训练效果。（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:rsidR="00185EEE" w:rsidRDefault="00185EEE" w:rsidP="00185EEE">
            <w:pPr>
              <w:numPr>
                <w:ilvl w:val="0"/>
                <w:numId w:val="11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目的欠明确，具有理论意义和现实意义。能结合所学的课程知识，有能力训练效果。（0-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trHeight w:val="882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能力水平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总分35分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2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能熟练运用所学知识，充分占有和分析学界的经典前沿资料，有很强的查阅文献及运用文献资料的能力。（11-15分）</w:t>
            </w:r>
          </w:p>
          <w:p w:rsidR="00185EEE" w:rsidRDefault="00185EEE" w:rsidP="00185EEE">
            <w:pPr>
              <w:numPr>
                <w:ilvl w:val="0"/>
                <w:numId w:val="12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能够运用一些相关的研究材料，有一定的查阅文献及运用文献资料的能力。（6-10分）</w:t>
            </w:r>
          </w:p>
          <w:p w:rsidR="00185EEE" w:rsidRDefault="00185EEE" w:rsidP="00185EEE">
            <w:pPr>
              <w:numPr>
                <w:ilvl w:val="0"/>
                <w:numId w:val="12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资料比较欠缺，经典型和前沿性差，有查阅文献及运用文献资料。（0-5分）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3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理论依据充分，数据准确，公式推导正确。（8-10分）</w:t>
            </w:r>
          </w:p>
          <w:p w:rsidR="00185EEE" w:rsidRDefault="00185EEE" w:rsidP="00185EEE">
            <w:pPr>
              <w:numPr>
                <w:ilvl w:val="0"/>
                <w:numId w:val="13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理论依据比较充分，数据较准确，公式推导正确度一般。（5-7分）</w:t>
            </w:r>
          </w:p>
          <w:p w:rsidR="00185EEE" w:rsidRDefault="00185EEE" w:rsidP="00185EEE">
            <w:pPr>
              <w:numPr>
                <w:ilvl w:val="0"/>
                <w:numId w:val="13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理论依据欠缺，数据准确度较差，公式推导正确度较差。（0-4分）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4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报告结论具有一定水平，完成策略设计，得出创造性结论，在某些领域获得初步进展，具有一定的学术和使用价值，体现出很好的水平。（8-10分）</w:t>
            </w:r>
          </w:p>
          <w:p w:rsidR="00185EEE" w:rsidRDefault="00185EEE" w:rsidP="00185EEE">
            <w:pPr>
              <w:numPr>
                <w:ilvl w:val="0"/>
                <w:numId w:val="14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提出创新策略，但具体思路尚有待完善和可虑不周之处。（5-7分）</w:t>
            </w:r>
          </w:p>
          <w:p w:rsidR="00185EEE" w:rsidRDefault="00185EEE" w:rsidP="00185EEE">
            <w:pPr>
              <w:numPr>
                <w:ilvl w:val="0"/>
                <w:numId w:val="14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策略构建基本没有创新性。（0-4分）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成果质量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总分40分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报告内容要求策略构建思路清晰，策略完整有效。策略建模数据要准确、实事求是。必须是围绕选择的策略方向进行研究模型构建，合理使用数据库和量化投资研究平台。（0-5分）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5"/>
              </w:num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模型正确合理，各项指标、结论符合要求。（8-10分）</w:t>
            </w:r>
          </w:p>
          <w:p w:rsidR="00185EEE" w:rsidRDefault="00185EEE" w:rsidP="00185EEE">
            <w:pPr>
              <w:numPr>
                <w:ilvl w:val="0"/>
                <w:numId w:val="15"/>
              </w:num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模型正确，各项指标、结论比较符合要求。（5-7分）</w:t>
            </w:r>
          </w:p>
          <w:p w:rsidR="00185EEE" w:rsidRDefault="00185EEE" w:rsidP="00185EEE">
            <w:pPr>
              <w:numPr>
                <w:ilvl w:val="0"/>
                <w:numId w:val="15"/>
              </w:num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模型较合理，得出各项指标、结论。（0-4分）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6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摘要叙述简练完整，假设合理、问题分析正确、数学或金融用语准确、结构完整，逻辑性严密，层次清晰。（8-10分）</w:t>
            </w:r>
          </w:p>
          <w:p w:rsidR="00185EEE" w:rsidRDefault="00185EEE" w:rsidP="00185EEE">
            <w:pPr>
              <w:numPr>
                <w:ilvl w:val="0"/>
                <w:numId w:val="16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摘要叙述较完整，</w:t>
            </w:r>
            <w:proofErr w:type="gramStart"/>
            <w:r>
              <w:rPr>
                <w:rFonts w:ascii="宋体" w:hAnsi="宋体" w:hint="eastAsia"/>
                <w:szCs w:val="21"/>
              </w:rPr>
              <w:t>假设较</w:t>
            </w:r>
            <w:proofErr w:type="gramEnd"/>
            <w:r>
              <w:rPr>
                <w:rFonts w:ascii="宋体" w:hAnsi="宋体" w:hint="eastAsia"/>
                <w:szCs w:val="21"/>
              </w:rPr>
              <w:t>合理、问题分析较正确、数学或金融用语较准确、结构较完整，有一定的逻辑性和层次性。（5-7分）</w:t>
            </w:r>
          </w:p>
          <w:p w:rsidR="00185EEE" w:rsidRDefault="00185EEE" w:rsidP="00185EEE">
            <w:pPr>
              <w:numPr>
                <w:ilvl w:val="0"/>
                <w:numId w:val="16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摘要叙述较完整，</w:t>
            </w:r>
            <w:proofErr w:type="gramStart"/>
            <w:r>
              <w:rPr>
                <w:rFonts w:ascii="宋体" w:hAnsi="宋体" w:hint="eastAsia"/>
                <w:szCs w:val="21"/>
              </w:rPr>
              <w:t>假设较</w:t>
            </w:r>
            <w:proofErr w:type="gramEnd"/>
            <w:r>
              <w:rPr>
                <w:rFonts w:ascii="宋体" w:hAnsi="宋体" w:hint="eastAsia"/>
                <w:szCs w:val="21"/>
              </w:rPr>
              <w:t>合理、问题分析较正确、数学或金融用语较准确，结构线完整，逻辑不够严密，层次不够清晰。（0-4分）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185EEE">
            <w:pPr>
              <w:numPr>
                <w:ilvl w:val="0"/>
                <w:numId w:val="17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研究报告主要构成部分齐全、合理规范，符号统一，编号齐全。格式，绘图、表格、插图等规范正确，符合论文要求。（8-10分）</w:t>
            </w:r>
          </w:p>
          <w:p w:rsidR="00185EEE" w:rsidRDefault="00185EEE" w:rsidP="00185EEE">
            <w:pPr>
              <w:numPr>
                <w:ilvl w:val="0"/>
                <w:numId w:val="17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基本达到1中的要求。（5-7分）</w:t>
            </w:r>
          </w:p>
          <w:p w:rsidR="00185EEE" w:rsidRDefault="00185EEE" w:rsidP="00185EEE">
            <w:pPr>
              <w:numPr>
                <w:ilvl w:val="0"/>
                <w:numId w:val="17"/>
              </w:numPr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尚能达到1中的要求。（0-4分）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字数不少于1000字，不超过10000字。(0-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程序分</w:t>
            </w:r>
          </w:p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总分20分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185EEE">
            <w:pPr>
              <w:numPr>
                <w:ilvl w:val="0"/>
                <w:numId w:val="1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能用软件编程完成策略编写，能在量化投资研究平台上运行，通过</w:t>
            </w:r>
            <w:proofErr w:type="gramStart"/>
            <w:r>
              <w:rPr>
                <w:rFonts w:ascii="宋体" w:hAnsi="宋体" w:hint="eastAsia"/>
                <w:szCs w:val="21"/>
              </w:rPr>
              <w:t>历史回验验证</w:t>
            </w:r>
            <w:proofErr w:type="gramEnd"/>
            <w:r>
              <w:rPr>
                <w:rFonts w:ascii="宋体" w:hAnsi="宋体" w:hint="eastAsia"/>
                <w:szCs w:val="21"/>
              </w:rPr>
              <w:t>策略有效盈利。（14-20分）</w:t>
            </w:r>
          </w:p>
          <w:p w:rsidR="00185EEE" w:rsidRDefault="00185EEE" w:rsidP="00185EEE">
            <w:pPr>
              <w:numPr>
                <w:ilvl w:val="0"/>
                <w:numId w:val="1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能用等软件编程完成策略编写，能在量化投资研究平台上正常运行。（7-13分）</w:t>
            </w:r>
          </w:p>
          <w:p w:rsidR="00185EEE" w:rsidRDefault="00185EEE" w:rsidP="00185EEE">
            <w:pPr>
              <w:numPr>
                <w:ilvl w:val="0"/>
                <w:numId w:val="18"/>
              </w:numPr>
              <w:spacing w:beforeLines="50" w:before="156" w:afterLines="50" w:after="156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能用软件编程完成策略编写。（0-6分）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EEE" w:rsidTr="00C54CF2">
        <w:trPr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总分（1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0分）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E" w:rsidRDefault="00185EEE" w:rsidP="00C54CF2">
            <w:pPr>
              <w:spacing w:beforeLines="50" w:before="156" w:afterLines="50" w:after="156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85EEE" w:rsidRDefault="00185EEE" w:rsidP="00185EEE">
      <w:pPr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参赛队伍的投资报告成绩按照以下公式计算：</w:t>
      </w:r>
    </w:p>
    <w:p w:rsidR="00185EEE" w:rsidRDefault="00185EEE" w:rsidP="00185EEE">
      <w:pPr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最终报告成绩＝本队报告成绩×（全体参赛队伍报告平均成绩／所在评分专家组报告平均成绩）</w:t>
      </w:r>
    </w:p>
    <w:p w:rsidR="00185EEE" w:rsidRDefault="00185EEE" w:rsidP="00185EEE">
      <w:pPr>
        <w:spacing w:line="400" w:lineRule="exact"/>
        <w:rPr>
          <w:rFonts w:ascii="宋体" w:hAnsi="宋体" w:cs="仿宋"/>
          <w:kern w:val="0"/>
          <w:sz w:val="32"/>
          <w:szCs w:val="28"/>
        </w:rPr>
      </w:pP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90" w:hangingChars="150" w:hanging="480"/>
        <w:rPr>
          <w:rFonts w:ascii="宋体" w:hAnsi="宋体" w:cs="仿宋"/>
          <w:kern w:val="0"/>
          <w:sz w:val="32"/>
          <w:szCs w:val="28"/>
        </w:rPr>
      </w:pPr>
      <w:r>
        <w:rPr>
          <w:rFonts w:ascii="宋体" w:hAnsi="宋体" w:cs="仿宋" w:hint="eastAsia"/>
          <w:kern w:val="0"/>
          <w:sz w:val="32"/>
          <w:szCs w:val="28"/>
        </w:rPr>
        <w:t>现场答辩评分细则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4271"/>
        <w:gridCol w:w="1845"/>
      </w:tblGrid>
      <w:tr w:rsidR="00185EEE" w:rsidTr="00C54CF2">
        <w:trPr>
          <w:jc w:val="center"/>
        </w:trPr>
        <w:tc>
          <w:tcPr>
            <w:tcW w:w="2180" w:type="dxa"/>
          </w:tcPr>
          <w:p w:rsidR="00185EEE" w:rsidRDefault="00185EEE" w:rsidP="00C54CF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评价对象</w:t>
            </w:r>
          </w:p>
        </w:tc>
        <w:tc>
          <w:tcPr>
            <w:tcW w:w="4271" w:type="dxa"/>
            <w:vAlign w:val="center"/>
          </w:tcPr>
          <w:p w:rsidR="00185EEE" w:rsidRDefault="00185EEE" w:rsidP="00C54C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评价内容</w:t>
            </w:r>
          </w:p>
        </w:tc>
        <w:tc>
          <w:tcPr>
            <w:tcW w:w="1845" w:type="dxa"/>
            <w:vAlign w:val="center"/>
          </w:tcPr>
          <w:p w:rsidR="00185EEE" w:rsidRDefault="00185EEE" w:rsidP="00C54C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评分</w:t>
            </w:r>
          </w:p>
        </w:tc>
      </w:tr>
      <w:tr w:rsidR="00185EEE" w:rsidTr="00C54CF2">
        <w:trPr>
          <w:trHeight w:val="332"/>
          <w:jc w:val="center"/>
        </w:trPr>
        <w:tc>
          <w:tcPr>
            <w:tcW w:w="2180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1、投资策略</w:t>
            </w:r>
          </w:p>
        </w:tc>
        <w:tc>
          <w:tcPr>
            <w:tcW w:w="4271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投资策略和投资思路阐述。</w:t>
            </w:r>
          </w:p>
        </w:tc>
        <w:tc>
          <w:tcPr>
            <w:tcW w:w="1845" w:type="dxa"/>
            <w:vAlign w:val="center"/>
          </w:tcPr>
          <w:p w:rsidR="00185EEE" w:rsidRDefault="00185EEE" w:rsidP="00C54C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185EEE" w:rsidTr="00C54CF2">
        <w:trPr>
          <w:trHeight w:val="971"/>
          <w:jc w:val="center"/>
        </w:trPr>
        <w:tc>
          <w:tcPr>
            <w:tcW w:w="2180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proofErr w:type="spellStart"/>
            <w:r>
              <w:rPr>
                <w:rFonts w:ascii="宋体" w:hAnsi="宋体" w:hint="eastAsia"/>
                <w:sz w:val="24"/>
              </w:rPr>
              <w:t>ppt</w:t>
            </w:r>
            <w:proofErr w:type="spellEnd"/>
            <w:r>
              <w:rPr>
                <w:rFonts w:ascii="宋体" w:hAnsi="宋体" w:hint="eastAsia"/>
                <w:sz w:val="24"/>
              </w:rPr>
              <w:t>展示</w:t>
            </w:r>
          </w:p>
        </w:tc>
        <w:tc>
          <w:tcPr>
            <w:tcW w:w="4271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运用的幻灯片在讲述团队投资思路时，能否起到增添形象性，梳理逻辑性的作用。</w:t>
            </w:r>
          </w:p>
        </w:tc>
        <w:tc>
          <w:tcPr>
            <w:tcW w:w="1845" w:type="dxa"/>
            <w:vAlign w:val="center"/>
          </w:tcPr>
          <w:p w:rsidR="00185EEE" w:rsidRDefault="00185EEE" w:rsidP="00C54C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0分</w:t>
            </w:r>
          </w:p>
        </w:tc>
      </w:tr>
      <w:tr w:rsidR="00185EEE" w:rsidTr="00C54CF2">
        <w:trPr>
          <w:trHeight w:val="744"/>
          <w:jc w:val="center"/>
        </w:trPr>
        <w:tc>
          <w:tcPr>
            <w:tcW w:w="2180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3、应答表现</w:t>
            </w:r>
          </w:p>
        </w:tc>
        <w:tc>
          <w:tcPr>
            <w:tcW w:w="4271" w:type="dxa"/>
            <w:vAlign w:val="center"/>
          </w:tcPr>
          <w:p w:rsidR="00185EEE" w:rsidRDefault="00185EEE" w:rsidP="00C54C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针对评委的提问和建议，应答内容是否清楚准确，应答表现是否沉着得当。</w:t>
            </w:r>
          </w:p>
        </w:tc>
        <w:tc>
          <w:tcPr>
            <w:tcW w:w="1845" w:type="dxa"/>
            <w:vAlign w:val="center"/>
          </w:tcPr>
          <w:p w:rsidR="00185EEE" w:rsidRDefault="00185EEE" w:rsidP="00C54C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0分</w:t>
            </w:r>
          </w:p>
        </w:tc>
      </w:tr>
    </w:tbl>
    <w:p w:rsidR="00185EEE" w:rsidRDefault="00185EEE" w:rsidP="00185EEE">
      <w:pPr>
        <w:spacing w:line="400" w:lineRule="exact"/>
        <w:rPr>
          <w:rFonts w:ascii="宋体" w:hAnsi="宋体" w:cs="仿宋"/>
          <w:kern w:val="0"/>
          <w:sz w:val="24"/>
        </w:rPr>
      </w:pPr>
      <w:r>
        <w:rPr>
          <w:rFonts w:ascii="宋体" w:hAnsi="宋体" w:cs="仿宋" w:hint="eastAsia"/>
          <w:kern w:val="0"/>
          <w:sz w:val="24"/>
        </w:rPr>
        <w:t xml:space="preserve">    决赛队伍参加决赛答辩时按照以下公式计算最终答辩成绩：</w:t>
      </w:r>
    </w:p>
    <w:p w:rsidR="00185EEE" w:rsidRDefault="00185EEE" w:rsidP="00185EEE">
      <w:pPr>
        <w:spacing w:line="400" w:lineRule="exact"/>
        <w:rPr>
          <w:rFonts w:ascii="宋体" w:hAnsi="宋体" w:cs="仿宋"/>
          <w:kern w:val="0"/>
          <w:sz w:val="24"/>
        </w:rPr>
      </w:pPr>
      <w:r>
        <w:rPr>
          <w:rFonts w:ascii="宋体" w:hAnsi="宋体" w:cs="仿宋" w:hint="eastAsia"/>
          <w:kern w:val="0"/>
          <w:sz w:val="24"/>
        </w:rPr>
        <w:t xml:space="preserve">    最终答辩成绩＝本队答辩成绩×（全体参赛队伍答辩平均成绩／所在</w:t>
      </w:r>
      <w:proofErr w:type="gramStart"/>
      <w:r>
        <w:rPr>
          <w:rFonts w:ascii="宋体" w:hAnsi="宋体" w:cs="仿宋" w:hint="eastAsia"/>
          <w:kern w:val="0"/>
          <w:sz w:val="24"/>
        </w:rPr>
        <w:t>答辩组</w:t>
      </w:r>
      <w:proofErr w:type="gramEnd"/>
      <w:r>
        <w:rPr>
          <w:rFonts w:ascii="宋体" w:hAnsi="宋体" w:cs="仿宋" w:hint="eastAsia"/>
          <w:kern w:val="0"/>
          <w:sz w:val="24"/>
        </w:rPr>
        <w:t>平均成绩）</w:t>
      </w:r>
    </w:p>
    <w:p w:rsidR="00185EEE" w:rsidRDefault="00185EEE" w:rsidP="00185EEE">
      <w:pPr>
        <w:spacing w:line="400" w:lineRule="exact"/>
        <w:rPr>
          <w:rFonts w:ascii="宋体" w:hAnsi="宋体" w:cs="仿宋"/>
          <w:kern w:val="0"/>
          <w:sz w:val="32"/>
          <w:szCs w:val="28"/>
        </w:rPr>
      </w:pPr>
    </w:p>
    <w:p w:rsidR="00185EEE" w:rsidRDefault="00185EEE" w:rsidP="00185EEE">
      <w:pPr>
        <w:numPr>
          <w:ilvl w:val="0"/>
          <w:numId w:val="3"/>
        </w:numPr>
        <w:spacing w:line="400" w:lineRule="exact"/>
        <w:ind w:leftChars="100" w:left="690" w:hangingChars="150" w:hanging="480"/>
        <w:rPr>
          <w:rFonts w:ascii="宋体" w:hAnsi="宋体" w:cs="仿宋"/>
          <w:kern w:val="0"/>
          <w:sz w:val="32"/>
          <w:szCs w:val="28"/>
        </w:rPr>
      </w:pPr>
      <w:r>
        <w:rPr>
          <w:rFonts w:ascii="宋体" w:hAnsi="宋体" w:cs="仿宋" w:hint="eastAsia"/>
          <w:kern w:val="0"/>
          <w:sz w:val="32"/>
          <w:szCs w:val="28"/>
        </w:rPr>
        <w:t>团队赛最终得分</w:t>
      </w:r>
    </w:p>
    <w:p w:rsidR="00185EEE" w:rsidRDefault="00185EEE" w:rsidP="00185EEE">
      <w:pPr>
        <w:numPr>
          <w:ilvl w:val="0"/>
          <w:numId w:val="19"/>
        </w:numPr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投资策略</w:t>
      </w:r>
      <w:r>
        <w:rPr>
          <w:rFonts w:ascii="宋体" w:hAnsi="宋体" w:cs="仿宋" w:hint="eastAsia"/>
          <w:kern w:val="0"/>
          <w:sz w:val="28"/>
          <w:szCs w:val="28"/>
        </w:rPr>
        <w:t>组最终得分=实测收益得分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20%+投资报告得分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40%+现场答辩得分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40</w:t>
      </w:r>
      <w:r>
        <w:rPr>
          <w:rFonts w:ascii="宋体" w:hAnsi="宋体" w:cs="宋体" w:hint="eastAsia"/>
          <w:kern w:val="0"/>
          <w:sz w:val="28"/>
          <w:szCs w:val="28"/>
        </w:rPr>
        <w:t>%</w:t>
      </w:r>
    </w:p>
    <w:p w:rsidR="00185EEE" w:rsidRDefault="00185EEE" w:rsidP="00185EEE">
      <w:pPr>
        <w:numPr>
          <w:ilvl w:val="0"/>
          <w:numId w:val="19"/>
        </w:numPr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" w:hint="eastAsia"/>
          <w:kern w:val="0"/>
          <w:sz w:val="28"/>
          <w:szCs w:val="28"/>
        </w:rPr>
        <w:t>量化交易</w:t>
      </w:r>
      <w:r>
        <w:rPr>
          <w:rFonts w:ascii="宋体" w:hAnsi="宋体" w:cs="宋体" w:hint="eastAsia"/>
          <w:kern w:val="0"/>
          <w:sz w:val="28"/>
          <w:szCs w:val="28"/>
        </w:rPr>
        <w:t>组最终得分=账号收益</w:t>
      </w:r>
      <w:r>
        <w:rPr>
          <w:rFonts w:ascii="宋体" w:hAnsi="宋体" w:cs="仿宋" w:hint="eastAsia"/>
          <w:kern w:val="0"/>
          <w:sz w:val="28"/>
          <w:szCs w:val="28"/>
        </w:rPr>
        <w:t>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20%+投资报告得分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40%+现场答辩得分</w:t>
      </w:r>
      <w:r>
        <w:rPr>
          <w:rFonts w:ascii="宋体" w:hAnsi="宋体" w:cs="仿宋" w:hint="eastAsia"/>
          <w:kern w:val="0"/>
          <w:sz w:val="24"/>
        </w:rPr>
        <w:t>×</w:t>
      </w:r>
      <w:r>
        <w:rPr>
          <w:rFonts w:ascii="宋体" w:hAnsi="宋体" w:cs="仿宋" w:hint="eastAsia"/>
          <w:kern w:val="0"/>
          <w:sz w:val="28"/>
          <w:szCs w:val="28"/>
        </w:rPr>
        <w:t>40</w:t>
      </w:r>
      <w:r>
        <w:rPr>
          <w:rFonts w:ascii="宋体" w:hAnsi="宋体" w:cs="宋体" w:hint="eastAsia"/>
          <w:kern w:val="0"/>
          <w:sz w:val="28"/>
          <w:szCs w:val="28"/>
        </w:rPr>
        <w:t>%</w:t>
      </w:r>
    </w:p>
    <w:p w:rsidR="00185EEE" w:rsidRDefault="00185EEE" w:rsidP="00185EEE">
      <w:pPr>
        <w:spacing w:line="400" w:lineRule="exact"/>
        <w:rPr>
          <w:rFonts w:ascii="宋体" w:hAnsi="宋体" w:cs="宋体"/>
          <w:kern w:val="0"/>
          <w:sz w:val="28"/>
          <w:szCs w:val="28"/>
        </w:rPr>
      </w:pPr>
    </w:p>
    <w:p w:rsidR="00185EEE" w:rsidRPr="00185EEE" w:rsidRDefault="00185EEE" w:rsidP="00185EEE">
      <w:pPr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  <w:r w:rsidRPr="00185EEE">
        <w:rPr>
          <w:rFonts w:ascii="宋体" w:hAnsi="宋体" w:cs="宋体" w:hint="eastAsia"/>
          <w:b/>
          <w:kern w:val="0"/>
          <w:sz w:val="32"/>
          <w:szCs w:val="32"/>
        </w:rPr>
        <w:t>三、竞赛平台</w:t>
      </w:r>
    </w:p>
    <w:p w:rsidR="00185EEE" w:rsidRDefault="00185EEE" w:rsidP="00185EEE">
      <w:pPr>
        <w:snapToGrid w:val="0"/>
        <w:spacing w:line="4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个人赛和团体赛报名成功后，分别采用以下竞赛平台进行模拟交易竞赛。</w:t>
      </w:r>
    </w:p>
    <w:p w:rsidR="00185EEE" w:rsidRDefault="00185EEE" w:rsidP="00185EEE">
      <w:pPr>
        <w:numPr>
          <w:ilvl w:val="0"/>
          <w:numId w:val="20"/>
        </w:numPr>
        <w:snapToGrid w:val="0"/>
        <w:spacing w:line="400" w:lineRule="exact"/>
        <w:ind w:leftChars="100" w:left="910" w:hangingChars="250" w:hanging="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个人赛股票模块：个人股票模拟交易采用同花顺官方行情手机客户端进行，各参赛选手需在报名后下载并登陆同花</w:t>
      </w:r>
      <w:proofErr w:type="gramStart"/>
      <w:r>
        <w:rPr>
          <w:rFonts w:ascii="宋体" w:hAnsi="宋体" w:cs="宋体" w:hint="eastAsia"/>
          <w:sz w:val="28"/>
          <w:szCs w:val="28"/>
        </w:rPr>
        <w:t>顺行情</w:t>
      </w:r>
      <w:proofErr w:type="gramEnd"/>
      <w:r>
        <w:rPr>
          <w:rFonts w:ascii="宋体" w:hAnsi="宋体" w:cs="宋体" w:hint="eastAsia"/>
          <w:sz w:val="28"/>
          <w:szCs w:val="28"/>
        </w:rPr>
        <w:t>软件，通过交易\模拟炒股\模拟炒股大赛\“同花顺杯”第二届浙江省大学生证券投资竞赛进行比赛。</w:t>
      </w:r>
    </w:p>
    <w:p w:rsidR="00185EEE" w:rsidRDefault="00185EEE" w:rsidP="00185EEE">
      <w:pPr>
        <w:numPr>
          <w:ilvl w:val="0"/>
          <w:numId w:val="20"/>
        </w:numPr>
        <w:snapToGrid w:val="0"/>
        <w:spacing w:line="400" w:lineRule="exact"/>
        <w:ind w:leftChars="100" w:left="910" w:hangingChars="250" w:hanging="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个人赛股指期货模块：登录</w:t>
      </w:r>
      <w:proofErr w:type="gramStart"/>
      <w:r>
        <w:rPr>
          <w:rFonts w:ascii="宋体" w:hAnsi="宋体" w:cs="宋体" w:hint="eastAsia"/>
          <w:sz w:val="28"/>
          <w:szCs w:val="28"/>
        </w:rPr>
        <w:t>竞赛官网进行</w:t>
      </w:r>
      <w:proofErr w:type="gramEnd"/>
      <w:r>
        <w:rPr>
          <w:rFonts w:ascii="宋体" w:hAnsi="宋体" w:cs="宋体" w:hint="eastAsia"/>
          <w:sz w:val="28"/>
          <w:szCs w:val="28"/>
        </w:rPr>
        <w:t>模拟交易（手机电脑均可）</w:t>
      </w:r>
    </w:p>
    <w:p w:rsidR="00335638" w:rsidRDefault="00335638" w:rsidP="00185EEE">
      <w:pPr>
        <w:numPr>
          <w:ilvl w:val="0"/>
          <w:numId w:val="20"/>
        </w:numPr>
        <w:snapToGrid w:val="0"/>
        <w:spacing w:line="400" w:lineRule="exact"/>
        <w:ind w:leftChars="100" w:left="910" w:hangingChars="250" w:hanging="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个人赛基金模块：登陆竞赛官网基金比赛专区进行模拟交易。</w:t>
      </w:r>
    </w:p>
    <w:p w:rsidR="0083451B" w:rsidRDefault="00185EEE" w:rsidP="0083451B">
      <w:pPr>
        <w:numPr>
          <w:ilvl w:val="0"/>
          <w:numId w:val="20"/>
        </w:numPr>
        <w:snapToGrid w:val="0"/>
        <w:spacing w:line="400" w:lineRule="exact"/>
        <w:ind w:leftChars="100" w:left="910" w:hangingChars="250" w:hanging="7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团体赛量化交易组：在</w:t>
      </w:r>
      <w:proofErr w:type="gramStart"/>
      <w:r>
        <w:rPr>
          <w:rFonts w:ascii="宋体" w:hAnsi="宋体" w:cs="宋体" w:hint="eastAsia"/>
          <w:sz w:val="28"/>
          <w:szCs w:val="28"/>
        </w:rPr>
        <w:t>竞赛官网下载</w:t>
      </w:r>
      <w:proofErr w:type="gramEnd"/>
      <w:r>
        <w:rPr>
          <w:rFonts w:ascii="宋体" w:hAnsi="宋体" w:cs="宋体" w:hint="eastAsia"/>
          <w:sz w:val="28"/>
          <w:szCs w:val="28"/>
        </w:rPr>
        <w:t>同花顺量化交易软件进行比赛。</w:t>
      </w:r>
    </w:p>
    <w:p w:rsidR="001E0C0B" w:rsidRPr="0083451B" w:rsidRDefault="00185EEE" w:rsidP="0083451B">
      <w:pPr>
        <w:numPr>
          <w:ilvl w:val="0"/>
          <w:numId w:val="20"/>
        </w:numPr>
        <w:snapToGrid w:val="0"/>
        <w:spacing w:line="400" w:lineRule="exact"/>
        <w:ind w:leftChars="100" w:left="910" w:hangingChars="250" w:hanging="700"/>
        <w:jc w:val="left"/>
        <w:rPr>
          <w:rFonts w:ascii="宋体" w:hAnsi="宋体" w:cs="宋体"/>
          <w:sz w:val="28"/>
          <w:szCs w:val="28"/>
        </w:rPr>
      </w:pPr>
      <w:r w:rsidRPr="0083451B">
        <w:rPr>
          <w:rFonts w:ascii="宋体" w:hAnsi="宋体" w:cs="宋体" w:hint="eastAsia"/>
          <w:sz w:val="28"/>
          <w:szCs w:val="28"/>
        </w:rPr>
        <w:t>团体赛投资策略组：登录竞赛官网进行模拟交易（手机电脑均可）。</w:t>
      </w:r>
    </w:p>
    <w:p w:rsidR="00485CBA" w:rsidRDefault="00485CBA" w:rsidP="00185EEE">
      <w:pPr>
        <w:snapToGrid w:val="0"/>
        <w:spacing w:line="400" w:lineRule="exact"/>
        <w:ind w:left="210"/>
        <w:jc w:val="left"/>
        <w:rPr>
          <w:rFonts w:ascii="宋体" w:hAnsi="宋体" w:cs="宋体"/>
          <w:sz w:val="28"/>
          <w:szCs w:val="28"/>
        </w:rPr>
      </w:pPr>
    </w:p>
    <w:p w:rsidR="00485CBA" w:rsidRPr="00485CBA" w:rsidRDefault="00485CBA" w:rsidP="00485CBA">
      <w:pPr>
        <w:jc w:val="left"/>
        <w:rPr>
          <w:b/>
          <w:bCs/>
          <w:sz w:val="32"/>
          <w:szCs w:val="32"/>
        </w:rPr>
      </w:pPr>
      <w:r w:rsidRPr="00485CBA">
        <w:rPr>
          <w:rFonts w:hint="eastAsia"/>
          <w:b/>
          <w:bCs/>
          <w:sz w:val="32"/>
          <w:szCs w:val="32"/>
        </w:rPr>
        <w:t>四、竞赛培训</w:t>
      </w:r>
    </w:p>
    <w:p w:rsidR="00485CBA" w:rsidRPr="00786AC7" w:rsidRDefault="00485CBA" w:rsidP="00485CBA">
      <w:pPr>
        <w:jc w:val="left"/>
        <w:rPr>
          <w:bCs/>
          <w:sz w:val="28"/>
          <w:szCs w:val="28"/>
        </w:rPr>
      </w:pPr>
      <w:r w:rsidRPr="00786AC7"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本竞赛培训分为线上线下两部分：</w:t>
      </w:r>
    </w:p>
    <w:p w:rsidR="00485CBA" w:rsidRDefault="00485CBA" w:rsidP="00485CBA">
      <w:pPr>
        <w:numPr>
          <w:ilvl w:val="0"/>
          <w:numId w:val="22"/>
        </w:numPr>
        <w:snapToGrid w:val="0"/>
        <w:spacing w:line="400" w:lineRule="exact"/>
        <w:ind w:leftChars="100" w:left="630" w:hangingChars="150" w:hanging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线上培训：大赛合作平台上将对于量化投资、模型建立等内容进行线上培训，团队赛量化交易组参赛选手可使用分配的账号和</w:t>
      </w:r>
      <w:r w:rsidRPr="005409D8">
        <w:rPr>
          <w:rFonts w:ascii="宋体" w:hAnsi="宋体" w:cs="宋体" w:hint="eastAsia"/>
          <w:sz w:val="28"/>
          <w:szCs w:val="28"/>
        </w:rPr>
        <w:t>密码登录</w:t>
      </w:r>
      <w:r>
        <w:rPr>
          <w:rFonts w:ascii="宋体" w:hAnsi="宋体" w:cs="宋体" w:hint="eastAsia"/>
          <w:sz w:val="28"/>
          <w:szCs w:val="28"/>
        </w:rPr>
        <w:t>网站</w:t>
      </w:r>
      <w:r w:rsidRPr="005409D8">
        <w:rPr>
          <w:rFonts w:ascii="宋体" w:hAnsi="宋体" w:cs="宋体" w:hint="eastAsia"/>
          <w:sz w:val="28"/>
          <w:szCs w:val="28"/>
        </w:rPr>
        <w:t>观看培训视频</w:t>
      </w:r>
      <w:r>
        <w:rPr>
          <w:rFonts w:ascii="宋体" w:hAnsi="宋体" w:cs="宋体" w:hint="eastAsia"/>
          <w:sz w:val="28"/>
          <w:szCs w:val="28"/>
        </w:rPr>
        <w:t>（培训视频网站地址在报名平台查询）</w:t>
      </w:r>
      <w:r w:rsidRPr="005409D8">
        <w:rPr>
          <w:rFonts w:ascii="宋体" w:hAnsi="宋体" w:cs="宋体" w:hint="eastAsia"/>
          <w:sz w:val="28"/>
          <w:szCs w:val="28"/>
        </w:rPr>
        <w:t>。</w:t>
      </w:r>
    </w:p>
    <w:p w:rsidR="00F074B0" w:rsidRDefault="00485CBA" w:rsidP="00F074B0">
      <w:pPr>
        <w:numPr>
          <w:ilvl w:val="0"/>
          <w:numId w:val="22"/>
        </w:numPr>
        <w:snapToGrid w:val="0"/>
        <w:spacing w:line="400" w:lineRule="exact"/>
        <w:ind w:leftChars="100" w:left="630" w:hangingChars="150" w:hanging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线下培训：2016年6月，竞赛办公室拟进行巡回专题培训。7月，同</w:t>
      </w:r>
      <w:proofErr w:type="gramStart"/>
      <w:r>
        <w:rPr>
          <w:rFonts w:ascii="宋体" w:hAnsi="宋体" w:cs="宋体" w:hint="eastAsia"/>
          <w:sz w:val="28"/>
          <w:szCs w:val="28"/>
        </w:rPr>
        <w:t>花顺将于</w:t>
      </w:r>
      <w:proofErr w:type="gramEnd"/>
      <w:r>
        <w:rPr>
          <w:rFonts w:ascii="宋体" w:hAnsi="宋体" w:cs="宋体" w:hint="eastAsia"/>
          <w:sz w:val="28"/>
          <w:szCs w:val="28"/>
        </w:rPr>
        <w:t>浙江财经大学展开量化交易平台的操作培训，具体事项请密切关注</w:t>
      </w:r>
      <w:proofErr w:type="gramStart"/>
      <w:r>
        <w:rPr>
          <w:rFonts w:ascii="宋体" w:hAnsi="宋体" w:cs="宋体" w:hint="eastAsia"/>
          <w:sz w:val="28"/>
          <w:szCs w:val="28"/>
        </w:rPr>
        <w:t>竞赛官网的</w:t>
      </w:r>
      <w:proofErr w:type="gramEnd"/>
      <w:r>
        <w:rPr>
          <w:rFonts w:ascii="宋体" w:hAnsi="宋体" w:cs="宋体" w:hint="eastAsia"/>
          <w:sz w:val="28"/>
          <w:szCs w:val="28"/>
        </w:rPr>
        <w:t>各类通知。</w:t>
      </w:r>
    </w:p>
    <w:p w:rsidR="00F074B0" w:rsidRPr="00F074B0" w:rsidRDefault="00F074B0" w:rsidP="00F074B0">
      <w:pPr>
        <w:numPr>
          <w:ilvl w:val="0"/>
          <w:numId w:val="22"/>
        </w:numPr>
        <w:snapToGrid w:val="0"/>
        <w:spacing w:line="400" w:lineRule="exact"/>
        <w:ind w:leftChars="100" w:left="630" w:hangingChars="150" w:hanging="420"/>
        <w:jc w:val="left"/>
        <w:rPr>
          <w:rFonts w:ascii="宋体" w:hAnsi="宋体" w:cs="宋体"/>
          <w:sz w:val="28"/>
          <w:szCs w:val="28"/>
        </w:rPr>
      </w:pPr>
      <w:r w:rsidRPr="00F074B0">
        <w:rPr>
          <w:rFonts w:ascii="宋体" w:hAnsi="宋体" w:cs="宋体" w:hint="eastAsia"/>
          <w:sz w:val="28"/>
          <w:szCs w:val="28"/>
        </w:rPr>
        <w:t>所有培训均为免费。</w:t>
      </w:r>
    </w:p>
    <w:sectPr w:rsidR="00F074B0" w:rsidRPr="00F074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97" w:rsidRDefault="00D25697" w:rsidP="0083451B">
      <w:r>
        <w:separator/>
      </w:r>
    </w:p>
  </w:endnote>
  <w:endnote w:type="continuationSeparator" w:id="0">
    <w:p w:rsidR="00D25697" w:rsidRDefault="00D25697" w:rsidP="0083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97" w:rsidRDefault="00D25697" w:rsidP="0083451B">
      <w:r>
        <w:separator/>
      </w:r>
    </w:p>
  </w:footnote>
  <w:footnote w:type="continuationSeparator" w:id="0">
    <w:p w:rsidR="00D25697" w:rsidRDefault="00D25697" w:rsidP="0083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AD3"/>
    <w:multiLevelType w:val="multilevel"/>
    <w:tmpl w:val="01AB1AD3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93810"/>
    <w:multiLevelType w:val="multilevel"/>
    <w:tmpl w:val="0B8938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47991"/>
    <w:multiLevelType w:val="multilevel"/>
    <w:tmpl w:val="16D4799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C221F3"/>
    <w:multiLevelType w:val="multilevel"/>
    <w:tmpl w:val="1EC221F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B50931"/>
    <w:multiLevelType w:val="multilevel"/>
    <w:tmpl w:val="1FB509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7944B4"/>
    <w:multiLevelType w:val="hybridMultilevel"/>
    <w:tmpl w:val="F12E320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E0F57A6"/>
    <w:multiLevelType w:val="multilevel"/>
    <w:tmpl w:val="4E0F57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306DBA"/>
    <w:multiLevelType w:val="singleLevel"/>
    <w:tmpl w:val="57306DBA"/>
    <w:lvl w:ilvl="0">
      <w:start w:val="1"/>
      <w:numFmt w:val="chineseCounting"/>
      <w:suff w:val="nothing"/>
      <w:lvlText w:val="（%1）"/>
      <w:lvlJc w:val="left"/>
    </w:lvl>
  </w:abstractNum>
  <w:abstractNum w:abstractNumId="8">
    <w:nsid w:val="57308C2A"/>
    <w:multiLevelType w:val="singleLevel"/>
    <w:tmpl w:val="57308C2A"/>
    <w:lvl w:ilvl="0">
      <w:start w:val="1"/>
      <w:numFmt w:val="decimal"/>
      <w:suff w:val="nothing"/>
      <w:lvlText w:val="（%1）"/>
      <w:lvlJc w:val="left"/>
    </w:lvl>
  </w:abstractNum>
  <w:abstractNum w:abstractNumId="9">
    <w:nsid w:val="57308C7D"/>
    <w:multiLevelType w:val="singleLevel"/>
    <w:tmpl w:val="57308C7D"/>
    <w:lvl w:ilvl="0">
      <w:start w:val="1"/>
      <w:numFmt w:val="decimal"/>
      <w:suff w:val="nothing"/>
      <w:lvlText w:val="%1、"/>
      <w:lvlJc w:val="left"/>
    </w:lvl>
  </w:abstractNum>
  <w:abstractNum w:abstractNumId="10">
    <w:nsid w:val="57346EB4"/>
    <w:multiLevelType w:val="singleLevel"/>
    <w:tmpl w:val="57346EB4"/>
    <w:lvl w:ilvl="0">
      <w:start w:val="1"/>
      <w:numFmt w:val="decimal"/>
      <w:suff w:val="nothing"/>
      <w:lvlText w:val="%1、"/>
      <w:lvlJc w:val="left"/>
    </w:lvl>
  </w:abstractNum>
  <w:abstractNum w:abstractNumId="11">
    <w:nsid w:val="57384808"/>
    <w:multiLevelType w:val="singleLevel"/>
    <w:tmpl w:val="57384808"/>
    <w:lvl w:ilvl="0">
      <w:start w:val="1"/>
      <w:numFmt w:val="decimal"/>
      <w:suff w:val="nothing"/>
      <w:lvlText w:val="%1、"/>
      <w:lvlJc w:val="left"/>
    </w:lvl>
  </w:abstractNum>
  <w:abstractNum w:abstractNumId="12">
    <w:nsid w:val="5738481B"/>
    <w:multiLevelType w:val="singleLevel"/>
    <w:tmpl w:val="5738481B"/>
    <w:lvl w:ilvl="0">
      <w:start w:val="1"/>
      <w:numFmt w:val="decimal"/>
      <w:suff w:val="nothing"/>
      <w:lvlText w:val="%1、"/>
      <w:lvlJc w:val="left"/>
    </w:lvl>
  </w:abstractNum>
  <w:abstractNum w:abstractNumId="13">
    <w:nsid w:val="57384830"/>
    <w:multiLevelType w:val="singleLevel"/>
    <w:tmpl w:val="57384830"/>
    <w:lvl w:ilvl="0">
      <w:start w:val="1"/>
      <w:numFmt w:val="decimal"/>
      <w:suff w:val="nothing"/>
      <w:lvlText w:val="%1、"/>
      <w:lvlJc w:val="left"/>
    </w:lvl>
  </w:abstractNum>
  <w:abstractNum w:abstractNumId="14">
    <w:nsid w:val="5738484B"/>
    <w:multiLevelType w:val="singleLevel"/>
    <w:tmpl w:val="5738484B"/>
    <w:lvl w:ilvl="0">
      <w:start w:val="1"/>
      <w:numFmt w:val="decimal"/>
      <w:suff w:val="nothing"/>
      <w:lvlText w:val="%1、"/>
      <w:lvlJc w:val="left"/>
    </w:lvl>
  </w:abstractNum>
  <w:abstractNum w:abstractNumId="15">
    <w:nsid w:val="57384869"/>
    <w:multiLevelType w:val="singleLevel"/>
    <w:tmpl w:val="57384869"/>
    <w:lvl w:ilvl="0">
      <w:start w:val="1"/>
      <w:numFmt w:val="decimal"/>
      <w:suff w:val="nothing"/>
      <w:lvlText w:val="%1、"/>
      <w:lvlJc w:val="left"/>
    </w:lvl>
  </w:abstractNum>
  <w:abstractNum w:abstractNumId="16">
    <w:nsid w:val="5738487F"/>
    <w:multiLevelType w:val="singleLevel"/>
    <w:tmpl w:val="5738487F"/>
    <w:lvl w:ilvl="0">
      <w:start w:val="1"/>
      <w:numFmt w:val="decimal"/>
      <w:suff w:val="nothing"/>
      <w:lvlText w:val="%1、"/>
      <w:lvlJc w:val="left"/>
    </w:lvl>
  </w:abstractNum>
  <w:abstractNum w:abstractNumId="17">
    <w:nsid w:val="57384893"/>
    <w:multiLevelType w:val="singleLevel"/>
    <w:tmpl w:val="57384893"/>
    <w:lvl w:ilvl="0">
      <w:start w:val="1"/>
      <w:numFmt w:val="decimal"/>
      <w:suff w:val="nothing"/>
      <w:lvlText w:val="%1、"/>
      <w:lvlJc w:val="left"/>
    </w:lvl>
  </w:abstractNum>
  <w:abstractNum w:abstractNumId="18">
    <w:nsid w:val="57384ABE"/>
    <w:multiLevelType w:val="singleLevel"/>
    <w:tmpl w:val="57384ABE"/>
    <w:lvl w:ilvl="0">
      <w:start w:val="1"/>
      <w:numFmt w:val="chineseCounting"/>
      <w:suff w:val="nothing"/>
      <w:lvlText w:val="%1、"/>
      <w:lvlJc w:val="left"/>
    </w:lvl>
  </w:abstractNum>
  <w:abstractNum w:abstractNumId="19">
    <w:nsid w:val="57384C13"/>
    <w:multiLevelType w:val="singleLevel"/>
    <w:tmpl w:val="57384C13"/>
    <w:lvl w:ilvl="0">
      <w:start w:val="1"/>
      <w:numFmt w:val="decimal"/>
      <w:suff w:val="nothing"/>
      <w:lvlText w:val="%1、"/>
      <w:lvlJc w:val="left"/>
    </w:lvl>
  </w:abstractNum>
  <w:abstractNum w:abstractNumId="20">
    <w:nsid w:val="57384CF7"/>
    <w:multiLevelType w:val="singleLevel"/>
    <w:tmpl w:val="57384CF7"/>
    <w:lvl w:ilvl="0">
      <w:start w:val="1"/>
      <w:numFmt w:val="decimal"/>
      <w:suff w:val="nothing"/>
      <w:lvlText w:val="（%1）"/>
      <w:lvlJc w:val="left"/>
    </w:lvl>
  </w:abstractNum>
  <w:abstractNum w:abstractNumId="21">
    <w:nsid w:val="60265EDC"/>
    <w:multiLevelType w:val="multilevel"/>
    <w:tmpl w:val="60265ED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B240322"/>
    <w:multiLevelType w:val="multilevel"/>
    <w:tmpl w:val="6B2403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22"/>
  </w:num>
  <w:num w:numId="5">
    <w:abstractNumId w:val="2"/>
  </w:num>
  <w:num w:numId="6">
    <w:abstractNumId w:val="21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4"/>
  </w:num>
  <w:num w:numId="19">
    <w:abstractNumId w:val="8"/>
  </w:num>
  <w:num w:numId="20">
    <w:abstractNumId w:val="20"/>
  </w:num>
  <w:num w:numId="21">
    <w:abstractNumId w:val="7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EE"/>
    <w:rsid w:val="00185EEE"/>
    <w:rsid w:val="001C3AA7"/>
    <w:rsid w:val="001E0C0B"/>
    <w:rsid w:val="002A648E"/>
    <w:rsid w:val="00335638"/>
    <w:rsid w:val="00384867"/>
    <w:rsid w:val="00397680"/>
    <w:rsid w:val="00485CBA"/>
    <w:rsid w:val="004A02EE"/>
    <w:rsid w:val="007663D0"/>
    <w:rsid w:val="00804213"/>
    <w:rsid w:val="0083451B"/>
    <w:rsid w:val="00A659D5"/>
    <w:rsid w:val="00D25697"/>
    <w:rsid w:val="00D2738D"/>
    <w:rsid w:val="00F074B0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4B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3AA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3AA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83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45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4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45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4B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3AA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3AA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83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45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4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45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595</Words>
  <Characters>3397</Characters>
  <Application>Microsoft Office Word</Application>
  <DocSecurity>0</DocSecurity>
  <Lines>28</Lines>
  <Paragraphs>7</Paragraphs>
  <ScaleCrop>false</ScaleCrop>
  <Company>Zhejiang University of Finance and Economics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Jack Wang</cp:lastModifiedBy>
  <cp:revision>5</cp:revision>
  <dcterms:created xsi:type="dcterms:W3CDTF">2016-05-17T14:54:00Z</dcterms:created>
  <dcterms:modified xsi:type="dcterms:W3CDTF">2016-05-17T15:40:00Z</dcterms:modified>
</cp:coreProperties>
</file>