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BE3F5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52F5066B">
      <w:pPr>
        <w:spacing w:before="156" w:beforeLines="50" w:after="78" w:afterLines="25" w:line="560" w:lineRule="exact"/>
        <w:jc w:val="center"/>
        <w:rPr>
          <w:rFonts w:ascii="Times New Roman" w:hAnsi="Times New Roman" w:eastAsia="方正小标宋" w:cs="Times New Roman"/>
          <w:sz w:val="44"/>
          <w:szCs w:val="44"/>
        </w:rPr>
      </w:pPr>
      <w:bookmarkStart w:id="0" w:name="_Hlk13770765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作品文本评分标准表</w:t>
      </w:r>
      <w:bookmarkEnd w:id="0"/>
    </w:p>
    <w:p w14:paraId="1D041D9A">
      <w:pPr>
        <w:spacing w:before="156" w:beforeLines="50" w:after="78" w:afterLines="25" w:line="560" w:lineRule="exact"/>
        <w:jc w:val="center"/>
        <w:rPr>
          <w:rFonts w:ascii="Times New Roman" w:hAnsi="Times New Roman" w:eastAsia="仿宋" w:cs="Times New Roman"/>
          <w:bCs/>
          <w:sz w:val="30"/>
          <w:szCs w:val="30"/>
        </w:rPr>
      </w:pPr>
    </w:p>
    <w:tbl>
      <w:tblPr>
        <w:tblStyle w:val="2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6"/>
        <w:gridCol w:w="1004"/>
        <w:gridCol w:w="3212"/>
        <w:gridCol w:w="1004"/>
      </w:tblGrid>
      <w:tr w14:paraId="1997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80" w:type="dxa"/>
            <w:gridSpan w:val="2"/>
            <w:vAlign w:val="center"/>
          </w:tcPr>
          <w:p w14:paraId="41F0518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A类.金融创新产品设计</w:t>
            </w:r>
          </w:p>
        </w:tc>
        <w:tc>
          <w:tcPr>
            <w:tcW w:w="4216" w:type="dxa"/>
            <w:gridSpan w:val="2"/>
            <w:vAlign w:val="center"/>
          </w:tcPr>
          <w:p w14:paraId="3B752EF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B类.金融创新案例分析</w:t>
            </w:r>
          </w:p>
        </w:tc>
      </w:tr>
      <w:tr w14:paraId="5366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92FE0C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6CCE096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14:paraId="374BA49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6BF5E52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</w:tr>
      <w:tr w14:paraId="4260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0F4C593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完整性</w:t>
            </w:r>
          </w:p>
        </w:tc>
        <w:tc>
          <w:tcPr>
            <w:tcW w:w="1004" w:type="dxa"/>
            <w:vAlign w:val="center"/>
          </w:tcPr>
          <w:p w14:paraId="7F0704B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4B4DD99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04A17DB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</w:tr>
      <w:tr w14:paraId="0020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D02827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6455369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14:paraId="341B89B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1F7FAD1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25%</w:t>
            </w:r>
          </w:p>
        </w:tc>
      </w:tr>
      <w:tr w14:paraId="591E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BF5043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可行性与实用性</w:t>
            </w:r>
          </w:p>
        </w:tc>
        <w:tc>
          <w:tcPr>
            <w:tcW w:w="1004" w:type="dxa"/>
            <w:vAlign w:val="center"/>
          </w:tcPr>
          <w:p w14:paraId="31AEE9F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35%</w:t>
            </w:r>
          </w:p>
        </w:tc>
        <w:tc>
          <w:tcPr>
            <w:tcW w:w="3212" w:type="dxa"/>
            <w:vAlign w:val="center"/>
          </w:tcPr>
          <w:p w14:paraId="1E52EEC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案例资料详实性与分析方法合理性</w:t>
            </w:r>
          </w:p>
        </w:tc>
        <w:tc>
          <w:tcPr>
            <w:tcW w:w="1004" w:type="dxa"/>
            <w:vAlign w:val="center"/>
          </w:tcPr>
          <w:p w14:paraId="6E9EB1F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</w:tr>
      <w:tr w14:paraId="630C2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4963D5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工作量与实现难度</w:t>
            </w:r>
          </w:p>
        </w:tc>
        <w:tc>
          <w:tcPr>
            <w:tcW w:w="1004" w:type="dxa"/>
            <w:vAlign w:val="center"/>
          </w:tcPr>
          <w:p w14:paraId="42BB569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14:paraId="27F5DCF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1E2A97B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20%</w:t>
            </w:r>
          </w:p>
        </w:tc>
      </w:tr>
      <w:tr w14:paraId="39BA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542893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4496E49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6BCD288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3897FC6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</w:tr>
      <w:tr w14:paraId="06CD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80" w:type="dxa"/>
            <w:gridSpan w:val="2"/>
            <w:vAlign w:val="center"/>
          </w:tcPr>
          <w:p w14:paraId="36F1726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C类.金融创新学术论文</w:t>
            </w:r>
          </w:p>
        </w:tc>
        <w:tc>
          <w:tcPr>
            <w:tcW w:w="4216" w:type="dxa"/>
            <w:gridSpan w:val="2"/>
            <w:vAlign w:val="center"/>
          </w:tcPr>
          <w:p w14:paraId="67BE339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D类.金融创新调研报告</w:t>
            </w:r>
          </w:p>
        </w:tc>
      </w:tr>
      <w:tr w14:paraId="3643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1874300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3C62726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14:paraId="27CAA8D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24BB088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</w:tr>
      <w:tr w14:paraId="07393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488F3AD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39D1996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20%</w:t>
            </w:r>
          </w:p>
        </w:tc>
        <w:tc>
          <w:tcPr>
            <w:tcW w:w="3212" w:type="dxa"/>
            <w:vAlign w:val="center"/>
          </w:tcPr>
          <w:p w14:paraId="38F801C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1D6A047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</w:tr>
      <w:tr w14:paraId="4708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39F027D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4D35C15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14:paraId="22471D1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1D32F5B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25%</w:t>
            </w:r>
          </w:p>
        </w:tc>
      </w:tr>
      <w:tr w14:paraId="0F4A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1BBEFB4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理论与实证分析方法合理性与前沿性</w:t>
            </w:r>
          </w:p>
        </w:tc>
        <w:tc>
          <w:tcPr>
            <w:tcW w:w="1004" w:type="dxa"/>
            <w:vAlign w:val="center"/>
          </w:tcPr>
          <w:p w14:paraId="08BAE8B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25%</w:t>
            </w:r>
          </w:p>
        </w:tc>
        <w:tc>
          <w:tcPr>
            <w:tcW w:w="3212" w:type="dxa"/>
            <w:vAlign w:val="center"/>
          </w:tcPr>
          <w:p w14:paraId="057EECC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调研资料可信度与调研分析方法合理性</w:t>
            </w:r>
          </w:p>
        </w:tc>
        <w:tc>
          <w:tcPr>
            <w:tcW w:w="1004" w:type="dxa"/>
            <w:vAlign w:val="center"/>
          </w:tcPr>
          <w:p w14:paraId="714F6E6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</w:tr>
      <w:tr w14:paraId="6FB5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3553230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517419B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14:paraId="6E0A53B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1D3AB16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20%</w:t>
            </w:r>
          </w:p>
        </w:tc>
      </w:tr>
      <w:tr w14:paraId="323B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259DEAD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364836A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0B6606C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641FC7A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</w:tr>
    </w:tbl>
    <w:p w14:paraId="08806957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62AB34AB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1D815BE7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77079C2D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06AF5F33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1" w:name="_Hlk13770769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答辩评分标准表</w:t>
      </w:r>
      <w:bookmarkEnd w:id="1"/>
    </w:p>
    <w:p w14:paraId="10E3D670">
      <w:pPr>
        <w:spacing w:after="78" w:afterLines="25" w:line="560" w:lineRule="exact"/>
        <w:jc w:val="center"/>
        <w:rPr>
          <w:rFonts w:ascii="Times New Roman" w:hAnsi="Times New Roman" w:eastAsia="仿宋" w:cs="Times New Roman"/>
          <w:bCs/>
          <w:sz w:val="32"/>
          <w:szCs w:val="32"/>
        </w:rPr>
      </w:pP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4449"/>
        <w:gridCol w:w="1984"/>
      </w:tblGrid>
      <w:tr w14:paraId="7BC43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0FA62EE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评价对象</w:t>
            </w:r>
          </w:p>
        </w:tc>
        <w:tc>
          <w:tcPr>
            <w:tcW w:w="4449" w:type="dxa"/>
            <w:vAlign w:val="center"/>
          </w:tcPr>
          <w:p w14:paraId="7563025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评价内容</w:t>
            </w:r>
          </w:p>
        </w:tc>
        <w:tc>
          <w:tcPr>
            <w:tcW w:w="1984" w:type="dxa"/>
            <w:vAlign w:val="center"/>
          </w:tcPr>
          <w:p w14:paraId="725D2E4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权重</w:t>
            </w:r>
          </w:p>
        </w:tc>
      </w:tr>
      <w:tr w14:paraId="3A8A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30755F9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1.汇报展示</w:t>
            </w:r>
          </w:p>
        </w:tc>
        <w:tc>
          <w:tcPr>
            <w:tcW w:w="4449" w:type="dxa"/>
            <w:vAlign w:val="center"/>
          </w:tcPr>
          <w:p w14:paraId="21E0BBC2">
            <w:pPr>
              <w:spacing w:line="5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阐述的全面性、逻辑性、重点突出性。</w:t>
            </w:r>
          </w:p>
        </w:tc>
        <w:tc>
          <w:tcPr>
            <w:tcW w:w="1984" w:type="dxa"/>
            <w:vAlign w:val="center"/>
          </w:tcPr>
          <w:p w14:paraId="458FD92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50%</w:t>
            </w:r>
          </w:p>
        </w:tc>
      </w:tr>
      <w:tr w14:paraId="5711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61278DA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2.答辩展示</w:t>
            </w:r>
          </w:p>
        </w:tc>
        <w:tc>
          <w:tcPr>
            <w:tcW w:w="4449" w:type="dxa"/>
            <w:vAlign w:val="center"/>
          </w:tcPr>
          <w:p w14:paraId="4571B64D">
            <w:pPr>
              <w:spacing w:line="5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回答评委提问和建议的清晰度、准确度；应答表现的适当度、沉稳度。</w:t>
            </w:r>
          </w:p>
        </w:tc>
        <w:tc>
          <w:tcPr>
            <w:tcW w:w="1984" w:type="dxa"/>
            <w:vAlign w:val="center"/>
          </w:tcPr>
          <w:p w14:paraId="366B8D2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50%</w:t>
            </w:r>
          </w:p>
        </w:tc>
      </w:tr>
    </w:tbl>
    <w:p w14:paraId="64CC7EAD">
      <w:pPr>
        <w:spacing w:line="480" w:lineRule="exact"/>
        <w:jc w:val="left"/>
        <w:rPr>
          <w:rFonts w:ascii="Times New Roman" w:hAnsi="Times New Roman" w:eastAsia="宋体" w:cs="Times New Roman"/>
          <w:b/>
          <w:sz w:val="32"/>
          <w:szCs w:val="32"/>
        </w:rPr>
      </w:pPr>
    </w:p>
    <w:p w14:paraId="55B1D983">
      <w:pPr>
        <w:spacing w:line="560" w:lineRule="exact"/>
        <w:jc w:val="left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w:br w:type="page"/>
      </w:r>
    </w:p>
    <w:p w14:paraId="5A33023A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浙江省大学生金融创新大赛作品格式要求参考</w:t>
      </w:r>
    </w:p>
    <w:p w14:paraId="71E95970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一、基本情况</w:t>
      </w:r>
    </w:p>
    <w:p w14:paraId="20190CE2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（一）作品标题（黑体，三号）</w:t>
      </w:r>
    </w:p>
    <w:p w14:paraId="7C1002DB">
      <w:pPr>
        <w:spacing w:line="560" w:lineRule="exact"/>
        <w:ind w:firstLine="640" w:firstLineChars="200"/>
        <w:rPr>
          <w:rFonts w:ascii="Times New Roman" w:hAnsi="Times New Roman" w:eastAsia="宋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（二）摘要、关键词（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宋体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，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小四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号，字数不超过500字）</w:t>
      </w:r>
    </w:p>
    <w:p w14:paraId="0D4A73B6">
      <w:pPr>
        <w:spacing w:line="560" w:lineRule="exact"/>
        <w:ind w:firstLine="140" w:firstLineChars="50"/>
        <w:rPr>
          <w:rFonts w:ascii="Times New Roman" w:hAnsi="Times New Roman" w:eastAsia="仿宋_GB2312" w:cs="Calibri"/>
          <w:b/>
          <w:sz w:val="28"/>
          <w:szCs w:val="28"/>
        </w:rPr>
      </w:pPr>
      <w:r>
        <w:rPr>
          <w:rFonts w:hint="eastAsia" w:ascii="Times New Roman" w:hAnsi="Times New Roman" w:eastAsia="仿宋_GB2312" w:cs="Calibri"/>
          <w:sz w:val="28"/>
          <w:szCs w:val="28"/>
        </w:rPr>
        <w:t xml:space="preserve"> </w:t>
      </w:r>
      <w:r>
        <w:rPr>
          <w:rFonts w:ascii="Times New Roman" w:hAnsi="Times New Roman" w:eastAsia="仿宋_GB2312" w:cs="Calibri"/>
          <w:sz w:val="28"/>
          <w:szCs w:val="28"/>
        </w:rPr>
        <w:t xml:space="preserve">    </w:t>
      </w: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7C45D32C">
      <w:pPr>
        <w:spacing w:line="560" w:lineRule="exact"/>
        <w:rPr>
          <w:rFonts w:ascii="Times New Roman" w:hAnsi="Times New Roman" w:eastAsia="仿宋_GB2312" w:cs="Calibri"/>
          <w:sz w:val="28"/>
          <w:szCs w:val="28"/>
        </w:rPr>
      </w:pPr>
      <w:r>
        <w:rPr>
          <w:rFonts w:ascii="Times New Roman" w:hAnsi="Times New Roman" w:eastAsia="宋体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506095</wp:posOffset>
                </wp:positionH>
                <wp:positionV relativeFrom="paragraph">
                  <wp:posOffset>237490</wp:posOffset>
                </wp:positionV>
                <wp:extent cx="5229225" cy="2590165"/>
                <wp:effectExtent l="4445" t="4445" r="5080" b="15240"/>
                <wp:wrapSquare wrapText="bothSides"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259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7782F8">
                            <w:pPr>
                              <w:jc w:val="center"/>
                              <w:rPr>
                                <w:rFonts w:ascii="黑体" w:hAnsi="黑体" w:eastAsia="黑体" w:cs="仿宋"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仿宋"/>
                                <w:bCs/>
                                <w:sz w:val="32"/>
                                <w:szCs w:val="32"/>
                              </w:rPr>
                              <w:t>论村民自治</w:t>
                            </w:r>
                          </w:p>
                          <w:p w14:paraId="51E82727">
                            <w:pPr>
                              <w:spacing w:line="400" w:lineRule="exact"/>
                              <w:rPr>
                                <w:rFonts w:ascii="宋体" w:hAnsi="宋体"/>
                                <w:sz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摘  要：</w:t>
                            </w:r>
                          </w:p>
                          <w:p w14:paraId="5232F2CF">
                            <w:pPr>
                              <w:spacing w:line="400" w:lineRule="exact"/>
                              <w:ind w:firstLine="480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ＸＸＸＸＸＸＸＸＸＸＸＸＸＸＸＸＸＸＸＸＸＸＸＸＸＸＸＸＸＸＸＸＸＸＸＸＸＸＸ</w:t>
                            </w:r>
                          </w:p>
                          <w:p w14:paraId="0799E1C5">
                            <w:pPr>
                              <w:spacing w:line="400" w:lineRule="exact"/>
                              <w:ind w:firstLine="480"/>
                              <w:rPr>
                                <w:rFonts w:ascii="宋体" w:hAnsi="宋体"/>
                                <w:sz w:val="24"/>
                              </w:rPr>
                            </w:pPr>
                          </w:p>
                          <w:p w14:paraId="3576EBA1">
                            <w:pPr>
                              <w:spacing w:line="4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关键词：ＸＸＸＸ　ＸＸＸＸ　ＸＸＸＸ　ＸＸＸＸ</w:t>
                            </w:r>
                          </w:p>
                          <w:p w14:paraId="2E3A47A5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  <w:p w14:paraId="0CDB5BB6">
                            <w:pPr>
                              <w:rPr>
                                <w:rFonts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  <w:t>［正文］</w:t>
                            </w:r>
                          </w:p>
                          <w:p w14:paraId="565A15A1">
                            <w:pPr>
                              <w:rPr>
                                <w:rFonts w:ascii="宋体" w:hAnsi="宋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sz w:val="28"/>
                                <w:szCs w:val="28"/>
                              </w:rPr>
                              <w:t>　</w:t>
                            </w:r>
                            <w:r>
                              <w:rPr>
                                <w:rFonts w:hint="eastAsia" w:ascii="宋体" w:hAnsi="宋体" w:cs="楷体"/>
                                <w:sz w:val="24"/>
                              </w:rPr>
                              <w:t>　ＸＸＸＸＸＸＸＸＸＸＸＸＸＸＸＸＸＸＸＸＸＸＸＸＸＸＸＸＸＸ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9.85pt;margin-top:18.7pt;height:203.95pt;width:411.7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ybpGvZAAAACQEAAA8AAAAAAAAA&#10;AQAgAAAAIgAAAGRycy9kb3ducmV2LnhtbFBLAQIUABQAAAAIAIdO4kDA374aEAIAAF4EAAAOAAAA&#10;AAAAAAEAIAAAACg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7782F8">
                      <w:pPr>
                        <w:jc w:val="center"/>
                        <w:rPr>
                          <w:rFonts w:ascii="黑体" w:hAnsi="黑体" w:eastAsia="黑体" w:cs="仿宋"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仿宋"/>
                          <w:bCs/>
                          <w:sz w:val="32"/>
                          <w:szCs w:val="32"/>
                        </w:rPr>
                        <w:t>论村民自治</w:t>
                      </w:r>
                    </w:p>
                    <w:p w14:paraId="51E82727">
                      <w:pPr>
                        <w:spacing w:line="400" w:lineRule="exact"/>
                        <w:rPr>
                          <w:rFonts w:ascii="宋体" w:hAnsi="宋体"/>
                          <w:sz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摘  要：</w:t>
                      </w:r>
                    </w:p>
                    <w:p w14:paraId="5232F2CF">
                      <w:pPr>
                        <w:spacing w:line="400" w:lineRule="exact"/>
                        <w:ind w:firstLine="480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ＸＸＸＸＸＸＸＸＸＸＸＸＸＸＸＸＸＸＸＸＸＸＸＸＸＸＸＸＸＸＸＸＸＸＸＸＸＸＸ</w:t>
                      </w:r>
                    </w:p>
                    <w:p w14:paraId="0799E1C5">
                      <w:pPr>
                        <w:spacing w:line="400" w:lineRule="exact"/>
                        <w:ind w:firstLine="480"/>
                        <w:rPr>
                          <w:rFonts w:ascii="宋体" w:hAnsi="宋体"/>
                          <w:sz w:val="24"/>
                        </w:rPr>
                      </w:pPr>
                    </w:p>
                    <w:p w14:paraId="3576EBA1">
                      <w:pPr>
                        <w:spacing w:line="400" w:lineRule="exact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关键词：ＸＸＸＸ　ＸＸＸＸ　ＸＸＸＸ　ＸＸＸＸ</w:t>
                      </w:r>
                    </w:p>
                    <w:p w14:paraId="2E3A47A5">
                      <w:pPr>
                        <w:rPr>
                          <w:rFonts w:ascii="宋体" w:hAnsi="宋体"/>
                          <w:szCs w:val="21"/>
                        </w:rPr>
                      </w:pPr>
                    </w:p>
                    <w:p w14:paraId="0CDB5BB6">
                      <w:pPr>
                        <w:rPr>
                          <w:rFonts w:ascii="宋体" w:hAnsi="宋体" w:cs="楷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8"/>
                          <w:szCs w:val="28"/>
                        </w:rPr>
                        <w:t>［正文］</w:t>
                      </w:r>
                    </w:p>
                    <w:p w14:paraId="565A15A1">
                      <w:pPr>
                        <w:rPr>
                          <w:rFonts w:ascii="宋体" w:hAnsi="宋体" w:cs="楷体"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sz w:val="28"/>
                          <w:szCs w:val="28"/>
                        </w:rPr>
                        <w:t>　</w:t>
                      </w:r>
                      <w:r>
                        <w:rPr>
                          <w:rFonts w:hint="eastAsia" w:ascii="宋体" w:hAnsi="宋体" w:cs="楷体"/>
                          <w:sz w:val="24"/>
                        </w:rPr>
                        <w:t>　ＸＸＸＸＸＸＸＸＸＸＸＸＸＸＸＸＸＸＸＸＸＸＸＸＸＸＸＸＸＸ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C338D2">
      <w:pPr>
        <w:spacing w:line="560" w:lineRule="exact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39DE6763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720CA3DD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二</w:t>
      </w:r>
    </w:p>
    <w:p w14:paraId="7F51E9B3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50248363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3DF0B63A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318C5373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65679140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bCs/>
          <w:sz w:val="32"/>
          <w:szCs w:val="32"/>
        </w:rPr>
        <w:t>、文字格式</w:t>
      </w:r>
    </w:p>
    <w:p w14:paraId="513C3098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（一）正文（宋体，小四号，标题需加粗）</w:t>
      </w:r>
    </w:p>
    <w:p w14:paraId="0D212A16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（二）行距(2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0磅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)</w:t>
      </w:r>
    </w:p>
    <w:p w14:paraId="4C5852ED">
      <w:pPr>
        <w:spacing w:line="560" w:lineRule="exact"/>
        <w:ind w:firstLine="150" w:firstLineChars="5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宋体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420370</wp:posOffset>
                </wp:positionV>
                <wp:extent cx="5076825" cy="2007870"/>
                <wp:effectExtent l="4445" t="4445" r="5080" b="6985"/>
                <wp:wrapSquare wrapText="bothSides"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07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217D31">
                            <w:pPr>
                              <w:spacing w:before="156" w:beforeLines="50" w:after="156" w:afterLines="50" w:line="400" w:lineRule="exact"/>
                              <w:ind w:left="420" w:leftChars="200"/>
                              <w:rPr>
                                <w:rFonts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  <w:t>一、村民自治的历史[一级标题]</w:t>
                            </w:r>
                          </w:p>
                          <w:p w14:paraId="4FCCA9DA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4"/>
                              </w:rPr>
                              <w:t>（一）村民自治的概念[二级标题]</w:t>
                            </w:r>
                          </w:p>
                          <w:p w14:paraId="799CDD25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4"/>
                              </w:rPr>
                              <w:t>1.村民自治[三级标题]</w:t>
                            </w:r>
                          </w:p>
                          <w:p w14:paraId="11DCC330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4"/>
                              </w:rPr>
                              <w:t>（1）村民自治[四级标题]</w:t>
                            </w:r>
                          </w:p>
                          <w:p w14:paraId="5D38CDE5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sz w:val="24"/>
                              </w:rPr>
                              <w:t>村民自治的概念来源于……[正文]</w:t>
                            </w:r>
                          </w:p>
                          <w:p w14:paraId="673FB2A4"/>
                        </w:txbxContent>
                      </wps:txbx>
                      <wps:bodyPr wrap="square" lIns="91439" tIns="45719" rIns="91439" bIns="45719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33.1pt;height:158.1pt;width:399.75pt;mso-position-horizontal:right;mso-position-horizontal-relative:margin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8JuLR1wAAAAcBAAAPAAAAAAAAAAEAIAAAACIAAABkcnMvZG93bnJldi54bWxQSwECFAAU&#10;AAAACACHTuJAUbJU5SsCAACS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70217D31">
                      <w:pPr>
                        <w:spacing w:before="156" w:beforeLines="50" w:after="156" w:afterLines="50" w:line="400" w:lineRule="exact"/>
                        <w:ind w:left="420" w:leftChars="200"/>
                        <w:rPr>
                          <w:rFonts w:ascii="宋体" w:hAnsi="宋体" w:cs="楷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8"/>
                          <w:szCs w:val="28"/>
                        </w:rPr>
                        <w:t>一、村民自治的历史[一级标题]</w:t>
                      </w:r>
                    </w:p>
                    <w:p w14:paraId="4FCCA9DA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4"/>
                        </w:rPr>
                        <w:t>（一）村民自治的概念[二级标题]</w:t>
                      </w:r>
                    </w:p>
                    <w:p w14:paraId="799CDD25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4"/>
                        </w:rPr>
                        <w:t>1.村民自治[三级标题]</w:t>
                      </w:r>
                    </w:p>
                    <w:p w14:paraId="11DCC330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4"/>
                        </w:rPr>
                        <w:t>（1）村民自治[四级标题]</w:t>
                      </w:r>
                    </w:p>
                    <w:p w14:paraId="5D38CDE5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sz w:val="24"/>
                        </w:rPr>
                        <w:t>村民自治的概念来源于……[正文]</w:t>
                      </w:r>
                    </w:p>
                    <w:p w14:paraId="673FB2A4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eastAsia="仿宋_GB2312" w:cs="Calibri"/>
          <w:sz w:val="28"/>
          <w:szCs w:val="28"/>
        </w:rPr>
        <w:t xml:space="preserve">    </w:t>
      </w: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6054A135">
      <w:pPr>
        <w:spacing w:line="560" w:lineRule="exact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7E13EC9D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三、版面格式</w:t>
      </w:r>
    </w:p>
    <w:p w14:paraId="5D694256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加页眉</w:t>
      </w:r>
    </w:p>
    <w:p w14:paraId="2A22CE76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内容：202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第十一届</w:t>
      </w:r>
      <w:r>
        <w:rPr>
          <w:rFonts w:ascii="Times New Roman" w:hAnsi="Times New Roman" w:eastAsia="仿宋_GB2312" w:cs="Times New Roman"/>
          <w:sz w:val="32"/>
          <w:szCs w:val="32"/>
        </w:rPr>
        <w:t>浙江省大学生金融创新大赛作品；</w:t>
      </w:r>
    </w:p>
    <w:p w14:paraId="145749F4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字体：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宋体</w:t>
      </w:r>
      <w:r>
        <w:rPr>
          <w:rFonts w:ascii="Times New Roman" w:hAnsi="Times New Roman" w:eastAsia="仿宋_GB2312" w:cs="Times New Roman"/>
          <w:sz w:val="32"/>
          <w:szCs w:val="32"/>
        </w:rPr>
        <w:t>，五号；居中</w:t>
      </w:r>
    </w:p>
    <w:p w14:paraId="73BCDB3F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页面设置</w:t>
      </w:r>
    </w:p>
    <w:p w14:paraId="2F33F646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页边距：上下左右均为2.5厘米  装订线：0厘米</w:t>
      </w:r>
    </w:p>
    <w:p w14:paraId="777BB4F7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页眉：1.5厘米；页脚：1.5厘米</w:t>
      </w:r>
    </w:p>
    <w:p w14:paraId="5FDA6A41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纸型：A4，纵向</w:t>
      </w:r>
    </w:p>
    <w:p w14:paraId="592B29A3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（三）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插入页码</w:t>
      </w:r>
    </w:p>
    <w:p w14:paraId="67E92CE0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位置：页面底端</w:t>
      </w:r>
    </w:p>
    <w:p w14:paraId="776B8555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对齐方式：外侧</w:t>
      </w:r>
    </w:p>
    <w:p w14:paraId="72E706A9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（四）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注释</w:t>
      </w:r>
    </w:p>
    <w:p w14:paraId="23F77A1B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_GB2312" w:cs="Times New Roman"/>
          <w:sz w:val="32"/>
          <w:szCs w:val="32"/>
        </w:rPr>
        <w:t>采用尾注，自定义标记为[1]，[2]，[3]……</w:t>
      </w:r>
    </w:p>
    <w:p w14:paraId="68142942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注：专著为[M]，报纸为[N]，期刊文章为[J]，论文集为[C]，学位论文为[D]，报告为[R]，标准为[S]，专利为[P]</w:t>
      </w:r>
    </w:p>
    <w:p w14:paraId="687FC5CE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（五）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参考文献</w:t>
      </w:r>
    </w:p>
    <w:p w14:paraId="08D46135">
      <w:pPr>
        <w:spacing w:line="560" w:lineRule="exact"/>
        <w:ind w:firstLine="140" w:firstLineChars="5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56A1DAE9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 xml:space="preserve"> [1] 常璟, 许旭. 金融生态环境、股权属性与债务融资结构研究[J].山东大学学报, 2011(3): 100-106.</w:t>
      </w:r>
    </w:p>
    <w:p w14:paraId="1A580060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[2] 毛蕴诗. 跨国公司战略竞争与国际直接投资[M].广州：中山大学出版社, 2001.</w:t>
      </w:r>
    </w:p>
    <w:p w14:paraId="3D1333A6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[3] 王玥. 区域金融生态评估方法研究[D]. 湖南大学, 2010.</w:t>
      </w:r>
    </w:p>
    <w:p w14:paraId="24B139CD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[4] 周小川. 完善法律环境, 打造金融生态[N]. 金融时报, 2004-12-7.</w:t>
      </w:r>
    </w:p>
    <w:p w14:paraId="3E0346CA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[5] 任泽平. 中国经济新周期是推动人民币升值的内因[EB/OL].(2015-03-02) [2016-01-09]. http://money.163.com/17/0913/06/CU6MVLUD002580S6.html.</w:t>
      </w:r>
    </w:p>
    <w:p w14:paraId="1EBF7AA4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[6] Alizadeh, S.,Brandt, M.W. and Diebold,F.X. Range Based Estimation of Stochastic Volatility Models[J]. Journal of Finance, 2002, 57(1): 1047–1092.</w:t>
      </w:r>
    </w:p>
    <w:p w14:paraId="32D0B574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[7] Cashin, P., K.,Mohaddes, H.W. and Dong, J. China’s Slowdown and Global Financial Market Volatility: Is World Growth Losing Out? [R]. IMF Working Paper 16/63, International Monetary Fund, 2016.</w:t>
      </w:r>
    </w:p>
    <w:p w14:paraId="0BCDEEBF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[8]</w:t>
      </w:r>
      <w:r>
        <w:rPr>
          <w:rFonts w:hint="eastAsia" w:ascii="Times New Roman" w:hAnsi="Times New Roman" w:eastAsia="仿宋" w:cs="Times New Roman"/>
          <w:szCs w:val="24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Cs w:val="24"/>
        </w:rPr>
        <w:t>Feenstrar,R.C.and Obstrfeld, M.In Search of the Armington Elasticity[EB/OL].(2014-04-02) [2016-12-21] . http://www.nber.org/papers/w20063.</w:t>
      </w:r>
    </w:p>
    <w:p w14:paraId="764CD36D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格式同上，先中文后英文；中文按姓名的拼音排序，英文按姓名的字母排序。</w:t>
      </w:r>
    </w:p>
    <w:p w14:paraId="7C57E5B8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四、其他问题</w:t>
      </w:r>
    </w:p>
    <w:p w14:paraId="1CE22271">
      <w:pPr>
        <w:spacing w:line="580" w:lineRule="exact"/>
        <w:ind w:firstLine="640" w:firstLineChars="200"/>
        <w:rPr>
          <w:sz w:val="16"/>
          <w:szCs w:val="16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其他未列出的问题请参见新闻出版署发布的“《中国学术期刊（光盘版）检索与评价数据规范》”。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415F3"/>
    <w:rsid w:val="06007295"/>
    <w:rsid w:val="34C1018B"/>
    <w:rsid w:val="43AC0516"/>
    <w:rsid w:val="58DD1B17"/>
    <w:rsid w:val="5E8415F3"/>
    <w:rsid w:val="60F65306"/>
    <w:rsid w:val="7E24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1485</Words>
  <Characters>2099</Characters>
  <Lines>0</Lines>
  <Paragraphs>0</Paragraphs>
  <TotalTime>183</TotalTime>
  <ScaleCrop>false</ScaleCrop>
  <LinksUpToDate>false</LinksUpToDate>
  <CharactersWithSpaces>2209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2026-06-22T01:36:00Z</dcterms:created>
  <dc:creator>Y</dc:creator>
  <cp:lastModifiedBy>刘文琼</cp:lastModifiedBy>
  <dcterms:modified xsi:type="dcterms:W3CDTF">2026-09-07T08:13:24Z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03CD6290C09244BB9517B9358E718DB3_11</vt:lpwstr>
  </property>
  <property fmtid="{D5CDD505-2E9C-101B-9397-08002B2CF9AE}" pid="4" name="KSOTemplateDocerSaveRecord">
    <vt:lpwstr>eyJoZGlkIjoiMjAxMzFhMWU2MzQyOTJlYmYyNzA2MmExZGUzZmIyNDYiLCJ1c2VySWQiOiI0MzIwNDQwNzkifQ==</vt:lpwstr>
  </property>
</Properties>
</file>