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544F9">
      <w:pPr>
        <w:pStyle w:val="7"/>
        <w:kinsoku w:val="0"/>
        <w:overflowPunct w:val="0"/>
        <w:snapToGrid w:val="0"/>
        <w:spacing w:before="0" w:line="360" w:lineRule="auto"/>
        <w:ind w:left="0"/>
        <w:jc w:val="both"/>
        <w:rPr>
          <w:rFonts w:hint="eastAsia"/>
          <w:b/>
          <w:w w:val="95"/>
          <w:sz w:val="32"/>
          <w:szCs w:val="32"/>
          <w:lang w:val="en-US" w:eastAsia="zh-CN"/>
        </w:rPr>
      </w:pPr>
      <w:r>
        <w:rPr>
          <w:rFonts w:hint="eastAsia"/>
          <w:b/>
          <w:w w:val="95"/>
          <w:sz w:val="32"/>
          <w:szCs w:val="32"/>
          <w:lang w:val="en-US" w:eastAsia="zh-CN"/>
        </w:rPr>
        <w:t>附件3-1</w:t>
      </w:r>
    </w:p>
    <w:p w14:paraId="166799AF">
      <w:pPr>
        <w:pStyle w:val="7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line="360" w:lineRule="auto"/>
        <w:ind w:left="0"/>
        <w:jc w:val="center"/>
        <w:textAlignment w:val="auto"/>
        <w:rPr>
          <w:rFonts w:hint="eastAsia" w:cs="Times New Roman"/>
          <w:b/>
          <w:w w:val="95"/>
          <w:sz w:val="32"/>
          <w:szCs w:val="32"/>
          <w:lang w:bidi="ar"/>
        </w:rPr>
      </w:pPr>
      <w:r>
        <w:rPr>
          <w:rFonts w:hint="eastAsia" w:cs="Times New Roman"/>
          <w:b/>
          <w:w w:val="95"/>
          <w:sz w:val="32"/>
          <w:szCs w:val="32"/>
          <w:lang w:bidi="ar"/>
        </w:rPr>
        <w:t>“华航唯实杯”第十三届浙江省大学生工程实践与创新能力大赛</w:t>
      </w:r>
    </w:p>
    <w:p w14:paraId="7B348108">
      <w:pPr>
        <w:pStyle w:val="7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line="360" w:lineRule="auto"/>
        <w:ind w:left="0"/>
        <w:jc w:val="center"/>
        <w:textAlignment w:val="auto"/>
        <w:rPr>
          <w:b/>
          <w:w w:val="95"/>
          <w:sz w:val="40"/>
          <w:szCs w:val="40"/>
        </w:rPr>
      </w:pPr>
      <w:r>
        <w:rPr>
          <w:rFonts w:hint="eastAsia"/>
          <w:b/>
          <w:w w:val="95"/>
          <w:sz w:val="40"/>
          <w:szCs w:val="40"/>
        </w:rPr>
        <w:t>虚拟仿真赛道-企业运营仿真赛项命题与运行</w:t>
      </w:r>
    </w:p>
    <w:p w14:paraId="19CE3823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4AD6AA12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243D17EE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赛项紧扣经济社会发展全面绿色转型时代需求，以“数字经济、智能制造、绿色低碳”国家战略为导向，聚焦“工商融合、绿色制造”核心目标，依托计算机、大数据、人工智能、虚拟现实等现代信息技术，搭建供应链上下游企业商业竞争的数字化全场景。参赛团队以角色扮演、数据分析、博弈运算、决策制定等实操环节，完成智能制造企业数字化运营中“预测、分析、优化、调整、降碳”的全流程最优运营决策；秉持“排碳有成本，减排有收益”核心理念，将绿色低碳业务深度融入制造企业数字化运营全流程，构建“商业逻辑+数字技术+工程实践+绿色低碳+赛教融合”的复合人才培养模式，突出跨学科交叉融合，打造适配双碳目标的教育生态，助力高校教学改革升级。</w:t>
      </w:r>
    </w:p>
    <w:p w14:paraId="56CBDBA1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通过赛事实践，助力学生精准把握企业生产制造与科学降碳有机融合的业务逻辑，明晰双碳政策对企业运营决策的影响，掌握现代化企业绿色低碳运营管理的知识体系与关键环节；同时培养学生的数据分析处理、低碳业务实操、政策市场研判能力，锻炼团队协作、沟通与创新创业能力，树立学生绿色低碳与创新创业意识，强化专业技能与社会责任感。最终为国家双碳战略实施输送兼具交叉学科背景、创新创造思维、工程实践能力的高素质人才，为经济社会绿色转型与高质量发展提供人才支撑。</w:t>
      </w:r>
    </w:p>
    <w:p w14:paraId="4A026B54">
      <w:pPr>
        <w:widowControl/>
        <w:spacing w:line="360" w:lineRule="auto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1.对竞赛内容的要求</w:t>
      </w:r>
    </w:p>
    <w:p w14:paraId="2FDE8332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赛项以培养学生绿色低碳意识、提升工程创新与实践能力为核心目标，依托虚拟现实等现代信息技术，以供应链上下游企业业务流程为主线、智能制造企业为核心、绿色低碳业务为特色，搭建商业竞争数字化全场景，模拟以数据驱动决策的绿色生产运营过程，助力实现企业可持续发展。参赛学生以团队形式虚拟创办一家现代绿色制造企业，参赛学生分别任职企业各部门岗位并开展相应管理运营工作，依托企业数据资源与AI工具，结合双碳相关知识，对采购、生产、营销、物流、人力、财务、碳管理等全业务环节进行重塑，通过宏微观数据分析，在绿色可持续发展目标下制定企业最优运营决策，沉浸式体验企业完整的低碳运营管理全流程。</w:t>
      </w:r>
    </w:p>
    <w:p w14:paraId="065BD8D4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竞赛期间，各参赛队在指定场地通过计算机和网络登录赛项专用平台开展竞赛，鼓励学生跨学科、跨专业组队参赛。</w:t>
      </w:r>
    </w:p>
    <w:p w14:paraId="3F513C23">
      <w:pPr>
        <w:widowControl/>
        <w:spacing w:line="360" w:lineRule="auto"/>
        <w:rPr>
          <w:rFonts w:hint="eastAsia" w:ascii="黑体" w:hAnsi="黑体" w:eastAsia="黑体" w:cs="黑体"/>
          <w:b/>
          <w:bCs/>
          <w:sz w:val="28"/>
          <w:szCs w:val="28"/>
        </w:rPr>
      </w:pPr>
    </w:p>
    <w:p w14:paraId="0E04B7B0">
      <w:pPr>
        <w:widowControl/>
        <w:spacing w:line="360" w:lineRule="auto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2.对运行环境的要求</w:t>
      </w:r>
    </w:p>
    <w:p w14:paraId="6607A065">
      <w:pPr>
        <w:widowControl/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1）软件要求</w:t>
      </w:r>
    </w:p>
    <w:p w14:paraId="6769316D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竞赛需使用企业低碳运营虚拟仿真平台竞赛专用版。</w:t>
      </w:r>
    </w:p>
    <w:p w14:paraId="74DB5EAE">
      <w:pPr>
        <w:widowControl/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2）硬件要求</w:t>
      </w:r>
    </w:p>
    <w:p w14:paraId="5876C025">
      <w:pPr>
        <w:widowControl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（1）竞赛服务器（2台）：可使用物理服务器或虚拟服务器，服务器操作系统为Windows server 2016 R2及以上，硬件最低配置为内存8G、硬盘180G、CPU四核、主频2.50GHz；</w:t>
      </w:r>
    </w:p>
    <w:p w14:paraId="5EB62DD2">
      <w:pPr>
        <w:widowControl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（2）竞赛学生机：每个参赛队配备至少三台计算机，计算机操作系统为Win7（64位）操作系统及以上，且需安装谷歌浏览器，系统分辨率为1366×768及以上。</w:t>
      </w:r>
    </w:p>
    <w:p w14:paraId="0E08BE17">
      <w:pPr>
        <w:widowControl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（3）竞赛教师机：每场竞赛配备至少一台计算机，计算机操作系统为Win7（64位）操作系统及以上，且需安装谷歌浏览器，系统分辨率为1366×768及以上。</w:t>
      </w:r>
    </w:p>
    <w:p w14:paraId="2E9D25C7">
      <w:pPr>
        <w:widowControl/>
        <w:spacing w:line="360" w:lineRule="auto"/>
        <w:rPr>
          <w:rFonts w:hint="eastAsia" w:ascii="黑体" w:hAnsi="黑体" w:eastAsia="黑体" w:cs="黑体"/>
          <w:b/>
          <w:bCs/>
          <w:sz w:val="28"/>
          <w:szCs w:val="28"/>
        </w:rPr>
      </w:pPr>
    </w:p>
    <w:p w14:paraId="7A4B13FD">
      <w:pPr>
        <w:widowControl/>
        <w:spacing w:line="360" w:lineRule="auto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3.赛程安排</w:t>
      </w:r>
    </w:p>
    <w:p w14:paraId="2D4ABA30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企业运营仿真赛项由复赛（线上竞赛），决赛（淘汰赛和排名赛）组成。</w:t>
      </w:r>
    </w:p>
    <w:p w14:paraId="26D57EDC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赛进行一轮线上竞赛，根据参赛队伍数量，将所有参赛队（分为本科组和高职组）以抽签方式均分到若干个竞赛小组，每一竞赛小组在同一环境下进行模拟操作，运营成绩由系统自动评判，根据复赛成绩及参赛队数确定一定比例进入决赛。</w:t>
      </w:r>
    </w:p>
    <w:p w14:paraId="34EB3038">
      <w:pPr>
        <w:widowControl/>
        <w:spacing w:line="360" w:lineRule="auto"/>
        <w:ind w:firstLine="480" w:firstLineChars="200"/>
        <w:rPr>
          <w:rFonts w:hint="default" w:ascii="宋体" w:hAnsi="宋体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决赛进行两轮竞赛：第一轮为淘汰赛，根据晋级决赛队伍数量，重新抽签分组并进行竞赛，按各竞赛小组成绩排名确定晋级第二轮队伍；第二轮为排名赛，由第一轮各竞赛小组排名情况确定分组进行竞赛。根据第一轮和第二轮比赛成绩综合评定省赛排名和获奖等级。</w:t>
      </w:r>
      <w:r>
        <w:rPr>
          <w:rFonts w:ascii="宋体" w:hAnsi="宋体" w:eastAsia="宋体"/>
          <w:b w:val="0"/>
          <w:bCs w:val="0"/>
          <w:sz w:val="24"/>
          <w:szCs w:val="24"/>
        </w:rPr>
        <w:t>各</w:t>
      </w:r>
      <w:r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  <w:t>竞赛</w:t>
      </w:r>
      <w:r>
        <w:rPr>
          <w:rFonts w:ascii="宋体" w:hAnsi="宋体" w:eastAsia="宋体"/>
          <w:b w:val="0"/>
          <w:bCs w:val="0"/>
          <w:sz w:val="24"/>
          <w:szCs w:val="24"/>
        </w:rPr>
        <w:t>环节</w:t>
      </w:r>
      <w:r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  <w:t>如表1所示。</w:t>
      </w:r>
    </w:p>
    <w:p w14:paraId="5FF78502">
      <w:pPr>
        <w:spacing w:line="360" w:lineRule="auto"/>
        <w:ind w:firstLine="2409" w:firstLineChars="10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表1 企业</w:t>
      </w:r>
      <w:r>
        <w:rPr>
          <w:rFonts w:ascii="宋体" w:hAnsi="宋体" w:eastAsia="宋体"/>
          <w:b/>
          <w:bCs/>
          <w:sz w:val="24"/>
          <w:szCs w:val="24"/>
        </w:rPr>
        <w:t>运营仿真赛项各环节</w:t>
      </w:r>
    </w:p>
    <w:tbl>
      <w:tblPr>
        <w:tblStyle w:val="15"/>
        <w:tblW w:w="6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1723"/>
        <w:gridCol w:w="2063"/>
        <w:gridCol w:w="1991"/>
      </w:tblGrid>
      <w:tr w14:paraId="6CA2B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160" w:type="dxa"/>
            <w:vAlign w:val="center"/>
          </w:tcPr>
          <w:p w14:paraId="35B693A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1723" w:type="dxa"/>
            <w:vAlign w:val="center"/>
          </w:tcPr>
          <w:p w14:paraId="384BB6D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环节</w:t>
            </w:r>
          </w:p>
        </w:tc>
        <w:tc>
          <w:tcPr>
            <w:tcW w:w="2063" w:type="dxa"/>
            <w:vAlign w:val="center"/>
          </w:tcPr>
          <w:p w14:paraId="4BB297B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赛程</w:t>
            </w:r>
          </w:p>
        </w:tc>
        <w:tc>
          <w:tcPr>
            <w:tcW w:w="1991" w:type="dxa"/>
          </w:tcPr>
          <w:p w14:paraId="1D73557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竞赛模式</w:t>
            </w:r>
          </w:p>
        </w:tc>
      </w:tr>
      <w:tr w14:paraId="6274A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160" w:type="dxa"/>
            <w:vAlign w:val="center"/>
          </w:tcPr>
          <w:p w14:paraId="3A71242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723" w:type="dxa"/>
            <w:vAlign w:val="center"/>
          </w:tcPr>
          <w:p w14:paraId="2184FF6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第一环节</w:t>
            </w:r>
          </w:p>
        </w:tc>
        <w:tc>
          <w:tcPr>
            <w:tcW w:w="2063" w:type="dxa"/>
            <w:vAlign w:val="center"/>
          </w:tcPr>
          <w:p w14:paraId="0646E95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复赛</w:t>
            </w:r>
          </w:p>
        </w:tc>
        <w:tc>
          <w:tcPr>
            <w:tcW w:w="1991" w:type="dxa"/>
            <w:vAlign w:val="center"/>
          </w:tcPr>
          <w:p w14:paraId="697256B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线上竞赛</w:t>
            </w:r>
          </w:p>
        </w:tc>
      </w:tr>
      <w:tr w14:paraId="2008E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937" w:type="dxa"/>
            <w:gridSpan w:val="4"/>
            <w:vAlign w:val="center"/>
          </w:tcPr>
          <w:p w14:paraId="2FE930F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说明：</w:t>
            </w:r>
            <w:r>
              <w:rPr>
                <w:rFonts w:hint="eastAsia" w:ascii="仿宋" w:hAnsi="仿宋" w:eastAsia="仿宋" w:cs="仿宋"/>
                <w:sz w:val="24"/>
              </w:rPr>
              <w:t>产生参加决赛现场名单</w:t>
            </w:r>
          </w:p>
        </w:tc>
      </w:tr>
      <w:tr w14:paraId="6EE39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160" w:type="dxa"/>
            <w:vAlign w:val="center"/>
          </w:tcPr>
          <w:p w14:paraId="11CCF4C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723" w:type="dxa"/>
            <w:vAlign w:val="center"/>
          </w:tcPr>
          <w:p w14:paraId="7ED674A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第二环节</w:t>
            </w:r>
          </w:p>
        </w:tc>
        <w:tc>
          <w:tcPr>
            <w:tcW w:w="2063" w:type="dxa"/>
            <w:vAlign w:val="center"/>
          </w:tcPr>
          <w:p w14:paraId="044694D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决赛-淘汰赛</w:t>
            </w:r>
          </w:p>
        </w:tc>
        <w:tc>
          <w:tcPr>
            <w:tcW w:w="1991" w:type="dxa"/>
            <w:vAlign w:val="center"/>
          </w:tcPr>
          <w:p w14:paraId="22C807E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线下竞赛</w:t>
            </w:r>
          </w:p>
        </w:tc>
      </w:tr>
      <w:tr w14:paraId="1862B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160" w:type="dxa"/>
            <w:vAlign w:val="center"/>
          </w:tcPr>
          <w:p w14:paraId="2CA0B28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1723" w:type="dxa"/>
            <w:vAlign w:val="center"/>
          </w:tcPr>
          <w:p w14:paraId="2BEEEBC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第三环节</w:t>
            </w:r>
          </w:p>
        </w:tc>
        <w:tc>
          <w:tcPr>
            <w:tcW w:w="2063" w:type="dxa"/>
            <w:vAlign w:val="center"/>
          </w:tcPr>
          <w:p w14:paraId="07D8AE6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决赛-排名赛</w:t>
            </w:r>
          </w:p>
        </w:tc>
        <w:tc>
          <w:tcPr>
            <w:tcW w:w="1991" w:type="dxa"/>
            <w:vAlign w:val="center"/>
          </w:tcPr>
          <w:p w14:paraId="1EA76F3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线下竞赛</w:t>
            </w:r>
          </w:p>
        </w:tc>
      </w:tr>
    </w:tbl>
    <w:p w14:paraId="04793C80">
      <w:pPr>
        <w:widowControl/>
        <w:spacing w:line="360" w:lineRule="auto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4.注意事项</w:t>
      </w:r>
    </w:p>
    <w:p w14:paraId="7B414F20">
      <w:pPr>
        <w:adjustRightInd w:val="0"/>
        <w:snapToGrid w:val="0"/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比赛期间，不允许学生携带手机、笔记本电脑、PAD、移动存储（如：U盘等）等电子设备，不允许携带制作好的EXCEL表格等辅助工具，可以携带空白纸张、碳素笔、无通信功能的计算器进入赛场。</w:t>
      </w:r>
    </w:p>
    <w:p w14:paraId="14EDD3AA">
      <w:pPr>
        <w:widowControl/>
        <w:spacing w:line="360" w:lineRule="auto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5.评分标准</w:t>
      </w:r>
    </w:p>
    <w:p w14:paraId="02DDD549">
      <w:pPr>
        <w:adjustRightInd w:val="0"/>
        <w:snapToGrid w:val="0"/>
        <w:spacing w:line="440" w:lineRule="exact"/>
        <w:ind w:firstLine="480" w:firstLineChars="200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竞赛评分遵循“公平、公正、公开”的原则。每个季度末系统根据运营规则自动评分，无人为因素干扰并实时列出各参赛队的运营状况，八个季度运营结束，各赛场成绩按照评分标准自动评分排名。</w:t>
      </w:r>
    </w:p>
    <w:p w14:paraId="5BEB3482">
      <w:pPr>
        <w:adjustRightInd w:val="0"/>
        <w:snapToGrid w:val="0"/>
        <w:spacing w:line="440" w:lineRule="exact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参赛队成绩以企业经营绩效得分衡量。经营绩效得分=盈利能力评分+偿债能力评分+发展潜力评分+团队表现评分+碳绩效评分</w:t>
      </w:r>
    </w:p>
    <w:p w14:paraId="694A4461">
      <w:pPr>
        <w:adjustRightInd w:val="0"/>
        <w:snapToGrid w:val="0"/>
        <w:spacing w:line="440" w:lineRule="exact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竞赛成绩在各组内进行排名，破产企业（经营绩效得分为0分）按照破产季度、净现值排名（后破产企业排名靠前，在同一季度破产按照净现值排名），如净现值一致，按资产负债率排名（资产负债率低排名靠前）。评分标准包括5个一级指标和10个二级指标，具体评分标准如表2所示。</w:t>
      </w:r>
    </w:p>
    <w:p w14:paraId="1DF1BA9E">
      <w:pPr>
        <w:spacing w:line="360" w:lineRule="auto"/>
        <w:ind w:firstLine="482" w:firstLineChars="20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表2 竞赛评分标准</w:t>
      </w:r>
    </w:p>
    <w:tbl>
      <w:tblPr>
        <w:tblStyle w:val="15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45" w:type="dxa"/>
          <w:bottom w:w="0" w:type="dxa"/>
          <w:right w:w="45" w:type="dxa"/>
        </w:tblCellMar>
      </w:tblPr>
      <w:tblGrid>
        <w:gridCol w:w="1532"/>
        <w:gridCol w:w="1850"/>
        <w:gridCol w:w="5207"/>
      </w:tblGrid>
      <w:tr w14:paraId="01F11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655" w:hRule="atLeast"/>
          <w:jc w:val="center"/>
        </w:trPr>
        <w:tc>
          <w:tcPr>
            <w:tcW w:w="892" w:type="pct"/>
            <w:vAlign w:val="center"/>
          </w:tcPr>
          <w:p w14:paraId="5D90F72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一级指标</w:t>
            </w:r>
          </w:p>
          <w:p w14:paraId="1D6625A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（满分值）</w:t>
            </w:r>
          </w:p>
        </w:tc>
        <w:tc>
          <w:tcPr>
            <w:tcW w:w="1077" w:type="pct"/>
            <w:vAlign w:val="center"/>
          </w:tcPr>
          <w:p w14:paraId="72C0328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二级指标</w:t>
            </w:r>
          </w:p>
          <w:p w14:paraId="525ED58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（满分值）</w:t>
            </w:r>
          </w:p>
        </w:tc>
        <w:tc>
          <w:tcPr>
            <w:tcW w:w="3031" w:type="pct"/>
            <w:vAlign w:val="center"/>
          </w:tcPr>
          <w:p w14:paraId="1B32ABA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指标说明</w:t>
            </w:r>
          </w:p>
        </w:tc>
      </w:tr>
      <w:tr w14:paraId="1C961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136" w:hRule="atLeast"/>
          <w:jc w:val="center"/>
        </w:trPr>
        <w:tc>
          <w:tcPr>
            <w:tcW w:w="892" w:type="pct"/>
            <w:vAlign w:val="center"/>
          </w:tcPr>
          <w:p w14:paraId="1895F2D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盈利能力</w:t>
            </w:r>
          </w:p>
          <w:p w14:paraId="4B910A9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（70分）</w:t>
            </w:r>
          </w:p>
        </w:tc>
        <w:tc>
          <w:tcPr>
            <w:tcW w:w="1077" w:type="pct"/>
            <w:vAlign w:val="center"/>
          </w:tcPr>
          <w:p w14:paraId="16509C2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净现值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（70分）</w:t>
            </w:r>
          </w:p>
        </w:tc>
        <w:tc>
          <w:tcPr>
            <w:tcW w:w="3031" w:type="pct"/>
            <w:vAlign w:val="center"/>
          </w:tcPr>
          <w:p w14:paraId="2D832E5B">
            <w:pPr>
              <w:widowControl/>
              <w:tabs>
                <w:tab w:val="left" w:pos="720"/>
              </w:tabs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Cs w:val="21"/>
              </w:rPr>
              <w:t>净现值越大，企业盈利能力越强。</w:t>
            </w:r>
          </w:p>
        </w:tc>
      </w:tr>
      <w:tr w14:paraId="01857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515" w:hRule="atLeast"/>
          <w:jc w:val="center"/>
        </w:trPr>
        <w:tc>
          <w:tcPr>
            <w:tcW w:w="892" w:type="pct"/>
            <w:vAlign w:val="center"/>
          </w:tcPr>
          <w:p w14:paraId="44EFC3F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偿债能力</w:t>
            </w:r>
          </w:p>
          <w:p w14:paraId="3D3E60A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（5分）</w:t>
            </w:r>
          </w:p>
        </w:tc>
        <w:tc>
          <w:tcPr>
            <w:tcW w:w="1077" w:type="pct"/>
            <w:vAlign w:val="center"/>
          </w:tcPr>
          <w:p w14:paraId="2045935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资产负债率</w:t>
            </w:r>
          </w:p>
          <w:p w14:paraId="1D0FCDA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（5分）</w:t>
            </w:r>
          </w:p>
        </w:tc>
        <w:tc>
          <w:tcPr>
            <w:tcW w:w="3031" w:type="pct"/>
            <w:vAlign w:val="center"/>
          </w:tcPr>
          <w:p w14:paraId="02513C5D">
            <w:pPr>
              <w:widowControl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资产负债率=总负债/总资产</w:t>
            </w:r>
          </w:p>
        </w:tc>
      </w:tr>
      <w:tr w14:paraId="0E53B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479" w:hRule="atLeast"/>
          <w:jc w:val="center"/>
        </w:trPr>
        <w:tc>
          <w:tcPr>
            <w:tcW w:w="892" w:type="pct"/>
            <w:vMerge w:val="restart"/>
            <w:vAlign w:val="center"/>
          </w:tcPr>
          <w:p w14:paraId="77C7E67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发展潜力</w:t>
            </w:r>
          </w:p>
          <w:p w14:paraId="4AE1C34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（10分）</w:t>
            </w:r>
          </w:p>
        </w:tc>
        <w:tc>
          <w:tcPr>
            <w:tcW w:w="1077" w:type="pct"/>
            <w:vAlign w:val="center"/>
          </w:tcPr>
          <w:p w14:paraId="520CAC3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研发投入（3分）</w:t>
            </w:r>
          </w:p>
        </w:tc>
        <w:tc>
          <w:tcPr>
            <w:tcW w:w="3031" w:type="pct"/>
            <w:vAlign w:val="center"/>
          </w:tcPr>
          <w:p w14:paraId="4B36BF3F">
            <w:pPr>
              <w:widowControl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研发投入效果通过产品质量水平高低来衡量</w:t>
            </w:r>
          </w:p>
        </w:tc>
      </w:tr>
      <w:tr w14:paraId="45D69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494" w:hRule="atLeast"/>
          <w:jc w:val="center"/>
        </w:trPr>
        <w:tc>
          <w:tcPr>
            <w:tcW w:w="892" w:type="pct"/>
            <w:vMerge w:val="continue"/>
            <w:vAlign w:val="center"/>
          </w:tcPr>
          <w:p w14:paraId="3DF42AF2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77" w:type="pct"/>
            <w:vAlign w:val="center"/>
          </w:tcPr>
          <w:p w14:paraId="5B205F74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营销投入（3分）</w:t>
            </w:r>
          </w:p>
        </w:tc>
        <w:tc>
          <w:tcPr>
            <w:tcW w:w="3031" w:type="pct"/>
            <w:vAlign w:val="center"/>
          </w:tcPr>
          <w:p w14:paraId="03FAC14E">
            <w:pPr>
              <w:widowControl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营销投入效果通过产品品牌知名度高低来衡量</w:t>
            </w:r>
          </w:p>
        </w:tc>
      </w:tr>
      <w:tr w14:paraId="7EBB3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485" w:hRule="atLeast"/>
          <w:jc w:val="center"/>
        </w:trPr>
        <w:tc>
          <w:tcPr>
            <w:tcW w:w="892" w:type="pct"/>
            <w:vMerge w:val="continue"/>
            <w:vAlign w:val="center"/>
          </w:tcPr>
          <w:p w14:paraId="537FA18F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77" w:type="pct"/>
            <w:vAlign w:val="center"/>
          </w:tcPr>
          <w:p w14:paraId="6265C4C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市场潜力</w:t>
            </w: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（4分）</w:t>
            </w:r>
          </w:p>
        </w:tc>
        <w:tc>
          <w:tcPr>
            <w:tcW w:w="3031" w:type="pct"/>
            <w:vAlign w:val="center"/>
          </w:tcPr>
          <w:p w14:paraId="753B4B0D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市场潜力通过企业市场占有率高低来衡量</w:t>
            </w:r>
          </w:p>
        </w:tc>
      </w:tr>
      <w:tr w14:paraId="60A36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413" w:hRule="atLeast"/>
          <w:jc w:val="center"/>
        </w:trPr>
        <w:tc>
          <w:tcPr>
            <w:tcW w:w="892" w:type="pct"/>
            <w:vMerge w:val="restart"/>
            <w:vAlign w:val="center"/>
          </w:tcPr>
          <w:p w14:paraId="6E65E39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团队表现</w:t>
            </w:r>
          </w:p>
          <w:p w14:paraId="55DA1D8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（10分，</w:t>
            </w:r>
          </w:p>
          <w:p w14:paraId="2BACC5D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采用扣分制）</w:t>
            </w:r>
          </w:p>
        </w:tc>
        <w:tc>
          <w:tcPr>
            <w:tcW w:w="1077" w:type="pct"/>
            <w:vAlign w:val="center"/>
          </w:tcPr>
          <w:p w14:paraId="1E2EF9F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采购表现</w:t>
            </w:r>
          </w:p>
        </w:tc>
        <w:tc>
          <w:tcPr>
            <w:tcW w:w="3031" w:type="pct"/>
            <w:vAlign w:val="center"/>
          </w:tcPr>
          <w:p w14:paraId="0B373971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是否出现原材料非正常采购，每次扣1.5分</w:t>
            </w:r>
          </w:p>
        </w:tc>
      </w:tr>
      <w:tr w14:paraId="339B0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626" w:hRule="atLeast"/>
          <w:jc w:val="center"/>
        </w:trPr>
        <w:tc>
          <w:tcPr>
            <w:tcW w:w="892" w:type="pct"/>
            <w:vMerge w:val="continue"/>
            <w:vAlign w:val="center"/>
          </w:tcPr>
          <w:p w14:paraId="76F135B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77" w:type="pct"/>
            <w:vAlign w:val="center"/>
          </w:tcPr>
          <w:p w14:paraId="1EA76FAD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生产表现</w:t>
            </w:r>
          </w:p>
        </w:tc>
        <w:tc>
          <w:tcPr>
            <w:tcW w:w="3031" w:type="pct"/>
            <w:vAlign w:val="center"/>
          </w:tcPr>
          <w:p w14:paraId="1873F56D">
            <w:pPr>
              <w:widowControl/>
              <w:tabs>
                <w:tab w:val="left" w:pos="1620"/>
              </w:tabs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Cs w:val="21"/>
              </w:rPr>
              <w:t>计划生产量与实际生产量不符（偏离量大于等于10个）每次扣1分。</w:t>
            </w:r>
          </w:p>
        </w:tc>
      </w:tr>
      <w:tr w14:paraId="493D3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557" w:hRule="atLeast"/>
          <w:jc w:val="center"/>
        </w:trPr>
        <w:tc>
          <w:tcPr>
            <w:tcW w:w="892" w:type="pct"/>
            <w:vMerge w:val="continue"/>
            <w:vAlign w:val="center"/>
          </w:tcPr>
          <w:p w14:paraId="5D2374F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77" w:type="pct"/>
            <w:vMerge w:val="restart"/>
            <w:vAlign w:val="center"/>
          </w:tcPr>
          <w:p w14:paraId="344B99E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财务表现</w:t>
            </w:r>
          </w:p>
        </w:tc>
        <w:tc>
          <w:tcPr>
            <w:tcW w:w="3031" w:type="pct"/>
            <w:vAlign w:val="center"/>
          </w:tcPr>
          <w:p w14:paraId="535BE8CA">
            <w:pPr>
              <w:widowControl/>
              <w:tabs>
                <w:tab w:val="left" w:pos="1620"/>
              </w:tabs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非正常负债数值（万元）按区间分次扣分如下：</w:t>
            </w:r>
          </w:p>
          <w:p w14:paraId="07FE7E3B">
            <w:pPr>
              <w:widowControl/>
              <w:tabs>
                <w:tab w:val="left" w:pos="1620"/>
              </w:tabs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（0，50]扣0.5分；（50，100]扣1分；（100，150]扣1.5分；（150，200]扣2分；（200，+∞）扣2.5分</w:t>
            </w:r>
          </w:p>
        </w:tc>
      </w:tr>
      <w:tr w14:paraId="4E0E9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274" w:hRule="atLeast"/>
          <w:jc w:val="center"/>
        </w:trPr>
        <w:tc>
          <w:tcPr>
            <w:tcW w:w="892" w:type="pct"/>
            <w:vMerge w:val="continue"/>
            <w:vAlign w:val="center"/>
          </w:tcPr>
          <w:p w14:paraId="4DC0AA1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77" w:type="pct"/>
            <w:vMerge w:val="continue"/>
            <w:vAlign w:val="center"/>
          </w:tcPr>
          <w:p w14:paraId="7348F5F6">
            <w:pPr>
              <w:widowControl/>
              <w:adjustRightInd w:val="0"/>
              <w:snapToGrid w:val="0"/>
              <w:jc w:val="center"/>
              <w:outlineLvl w:val="2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031" w:type="pct"/>
            <w:vAlign w:val="center"/>
          </w:tcPr>
          <w:p w14:paraId="5110C984">
            <w:pPr>
              <w:widowControl/>
              <w:tabs>
                <w:tab w:val="left" w:pos="1620"/>
              </w:tabs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借款剩余值（万元）按区间分次扣分如下：</w:t>
            </w:r>
          </w:p>
          <w:p w14:paraId="0C0F9D34">
            <w:pPr>
              <w:widowControl/>
              <w:tabs>
                <w:tab w:val="left" w:pos="1620"/>
              </w:tabs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[0，50]扣0分；（50，100]扣0.5分；（100，150]扣1分；（150，200]扣1.5分；（200，+∞）扣2分</w:t>
            </w:r>
          </w:p>
        </w:tc>
      </w:tr>
      <w:tr w14:paraId="5CC12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274" w:hRule="atLeast"/>
          <w:jc w:val="center"/>
        </w:trPr>
        <w:tc>
          <w:tcPr>
            <w:tcW w:w="892" w:type="pct"/>
            <w:vMerge w:val="continue"/>
            <w:vAlign w:val="center"/>
          </w:tcPr>
          <w:p w14:paraId="598A2E9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77" w:type="pct"/>
            <w:vAlign w:val="center"/>
          </w:tcPr>
          <w:p w14:paraId="25295382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碳核查表现</w:t>
            </w:r>
          </w:p>
        </w:tc>
        <w:tc>
          <w:tcPr>
            <w:tcW w:w="3031" w:type="pct"/>
            <w:vAlign w:val="center"/>
          </w:tcPr>
          <w:p w14:paraId="3D756C1B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每出现1次碳核查错误，扣0.5分</w:t>
            </w:r>
          </w:p>
        </w:tc>
      </w:tr>
      <w:tr w14:paraId="2BFBA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274" w:hRule="atLeast"/>
          <w:jc w:val="center"/>
        </w:trPr>
        <w:tc>
          <w:tcPr>
            <w:tcW w:w="892" w:type="pct"/>
            <w:vAlign w:val="center"/>
          </w:tcPr>
          <w:p w14:paraId="4B84392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碳绩效</w:t>
            </w:r>
          </w:p>
          <w:p w14:paraId="74B96FD2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（5分）</w:t>
            </w:r>
          </w:p>
        </w:tc>
        <w:tc>
          <w:tcPr>
            <w:tcW w:w="1077" w:type="pct"/>
            <w:vAlign w:val="center"/>
          </w:tcPr>
          <w:p w14:paraId="29736AB6">
            <w:pPr>
              <w:widowControl/>
              <w:adjustRightInd w:val="0"/>
              <w:snapToGrid w:val="0"/>
              <w:jc w:val="center"/>
              <w:outlineLvl w:val="2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碳排放强度</w:t>
            </w:r>
          </w:p>
          <w:p w14:paraId="0903B40B">
            <w:pPr>
              <w:widowControl/>
              <w:adjustRightInd w:val="0"/>
              <w:snapToGrid w:val="0"/>
              <w:jc w:val="center"/>
              <w:outlineLvl w:val="2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（5分）</w:t>
            </w:r>
          </w:p>
        </w:tc>
        <w:tc>
          <w:tcPr>
            <w:tcW w:w="3031" w:type="pct"/>
            <w:vAlign w:val="center"/>
          </w:tcPr>
          <w:p w14:paraId="6E1EBB12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碳排放强度越高，碳绩效评分越低。</w:t>
            </w:r>
          </w:p>
        </w:tc>
      </w:tr>
    </w:tbl>
    <w:p w14:paraId="21826F42">
      <w:pPr>
        <w:spacing w:before="156" w:beforeLines="50"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1）盈利能力</w:t>
      </w:r>
    </w:p>
    <w:p w14:paraId="23F2FB9D">
      <w:pPr>
        <w:tabs>
          <w:tab w:val="left" w:pos="1620"/>
        </w:tabs>
        <w:spacing w:line="44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净现值越大，企业盈利能力越强，评分越高。</w:t>
      </w:r>
    </w:p>
    <w:p w14:paraId="2C57D645">
      <w:pPr>
        <w:widowControl/>
        <w:spacing w:line="360" w:lineRule="auto"/>
        <w:jc w:val="center"/>
        <w:rPr>
          <w:rFonts w:hint="eastAsia" w:ascii="宋体" w:hAnsi="宋体" w:eastAsia="宋体" w:cs="宋体"/>
          <w:kern w:val="0"/>
          <w:szCs w:val="21"/>
        </w:rPr>
      </w:pPr>
      <m:oMath>
        <m:r>
          <m:rPr>
            <m:sty m:val="p"/>
          </m:rPr>
          <w:rPr>
            <w:rFonts w:hint="eastAsia" w:ascii="Cambria Math" w:hAnsi="Cambria Math" w:eastAsia="宋体" w:cs="宋体"/>
            <w:kern w:val="0"/>
            <w:szCs w:val="21"/>
          </w:rPr>
          <m:t>净现值=</m:t>
        </m:r>
        <m:nary>
          <m:naryPr>
            <m:chr m:val="∑"/>
            <m:limLoc m:val="undOvr"/>
            <m:ctrlPr>
              <w:rPr>
                <w:rFonts w:hint="eastAsia" w:ascii="Cambria Math" w:hAnsi="Cambria Math" w:eastAsia="宋体" w:cs="宋体"/>
                <w:kern w:val="0"/>
                <w:szCs w:val="21"/>
              </w:rPr>
            </m:ctrlPr>
          </m:naryPr>
          <m:sub>
            <m:r>
              <m:rPr/>
              <w:rPr>
                <w:rFonts w:hint="eastAsia" w:ascii="Cambria Math" w:hAnsi="Cambria Math" w:eastAsia="宋体" w:cs="宋体"/>
                <w:kern w:val="0"/>
                <w:szCs w:val="21"/>
              </w:rPr>
              <m:t>i=1</m:t>
            </m:r>
            <m:ctrlPr>
              <w:rPr>
                <w:rFonts w:hint="eastAsia" w:ascii="Cambria Math" w:hAnsi="Cambria Math" w:eastAsia="宋体" w:cs="宋体"/>
                <w:kern w:val="0"/>
                <w:szCs w:val="21"/>
              </w:rPr>
            </m:ctrlPr>
          </m:sub>
          <m:sup>
            <m:r>
              <m:rPr/>
              <w:rPr>
                <w:rFonts w:hint="eastAsia" w:ascii="Cambria Math" w:hAnsi="Cambria Math" w:eastAsia="宋体" w:cs="宋体"/>
                <w:kern w:val="0"/>
                <w:szCs w:val="21"/>
              </w:rPr>
              <m:t>n</m:t>
            </m:r>
            <m:ctrlPr>
              <w:rPr>
                <w:rFonts w:hint="eastAsia" w:ascii="Cambria Math" w:hAnsi="Cambria Math" w:eastAsia="宋体" w:cs="宋体"/>
                <w:kern w:val="0"/>
                <w:szCs w:val="21"/>
              </w:rPr>
            </m:ctrlPr>
          </m:sup>
          <m:e>
            <m:f>
              <m:fPr>
                <m:ctrlPr>
                  <w:rPr>
                    <w:rFonts w:hint="eastAsia" w:ascii="Cambria Math" w:hAnsi="Cambria Math" w:eastAsia="宋体" w:cs="宋体"/>
                    <w:i/>
                    <w:kern w:val="0"/>
                    <w:szCs w:val="21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eastAsia" w:ascii="Cambria Math" w:hAnsi="Cambria Math" w:eastAsia="宋体" w:cs="宋体"/>
                    <w:kern w:val="0"/>
                    <w:szCs w:val="21"/>
                  </w:rPr>
                  <m:t>第</m:t>
                </m:r>
                <m:r>
                  <m:rPr/>
                  <w:rPr>
                    <w:rFonts w:hint="eastAsia" w:ascii="Cambria Math" w:hAnsi="Cambria Math" w:eastAsia="宋体" w:cs="宋体"/>
                    <w:kern w:val="0"/>
                    <w:szCs w:val="21"/>
                  </w:rPr>
                  <m:t>i</m:t>
                </m:r>
                <m:r>
                  <m:rPr>
                    <m:sty m:val="p"/>
                  </m:rPr>
                  <w:rPr>
                    <w:rFonts w:hint="eastAsia" w:ascii="Cambria Math" w:hAnsi="Cambria Math" w:eastAsia="宋体" w:cs="宋体"/>
                    <w:kern w:val="0"/>
                    <w:szCs w:val="21"/>
                  </w:rPr>
                  <m:t>季发放红利</m:t>
                </m:r>
                <m:ctrlPr>
                  <w:rPr>
                    <w:rFonts w:hint="eastAsia" w:ascii="Cambria Math" w:hAnsi="Cambria Math" w:eastAsia="宋体" w:cs="宋体"/>
                    <w:i/>
                    <w:kern w:val="0"/>
                    <w:szCs w:val="21"/>
                  </w:rPr>
                </m:ctrlPr>
              </m:num>
              <m:den>
                <m:sSup>
                  <m:sSupPr>
                    <m:ctrlPr>
                      <w:rPr>
                        <w:rFonts w:hint="eastAsia" w:ascii="Cambria Math" w:hAnsi="Cambria Math" w:eastAsia="宋体" w:cs="宋体"/>
                        <w:i/>
                        <w:kern w:val="0"/>
                        <w:szCs w:val="21"/>
                      </w:rPr>
                    </m:ctrlPr>
                  </m:sSupPr>
                  <m:e>
                    <m:r>
                      <m:rPr/>
                      <w:rPr>
                        <w:rFonts w:hint="eastAsia" w:ascii="Cambria Math" w:hAnsi="Cambria Math" w:eastAsia="宋体" w:cs="宋体"/>
                        <w:kern w:val="0"/>
                        <w:szCs w:val="21"/>
                      </w:rPr>
                      <m:t>(1+k/4)</m:t>
                    </m:r>
                    <m:ctrlPr>
                      <w:rPr>
                        <w:rFonts w:hint="eastAsia" w:ascii="Cambria Math" w:hAnsi="Cambria Math" w:eastAsia="宋体" w:cs="宋体"/>
                        <w:i/>
                        <w:kern w:val="0"/>
                        <w:szCs w:val="21"/>
                      </w:rPr>
                    </m:ctrlPr>
                  </m:e>
                  <m:sup>
                    <m:r>
                      <m:rPr/>
                      <w:rPr>
                        <w:rFonts w:hint="eastAsia" w:ascii="Cambria Math" w:hAnsi="Cambria Math" w:eastAsia="宋体" w:cs="宋体"/>
                        <w:kern w:val="0"/>
                        <w:szCs w:val="21"/>
                      </w:rPr>
                      <m:t>i</m:t>
                    </m:r>
                    <m:ctrlPr>
                      <w:rPr>
                        <w:rFonts w:hint="eastAsia" w:ascii="Cambria Math" w:hAnsi="Cambria Math" w:eastAsia="宋体" w:cs="宋体"/>
                        <w:i/>
                        <w:kern w:val="0"/>
                        <w:szCs w:val="21"/>
                      </w:rPr>
                    </m:ctrlPr>
                  </m:sup>
                </m:sSup>
                <m:ctrlPr>
                  <w:rPr>
                    <w:rFonts w:hint="eastAsia" w:ascii="Cambria Math" w:hAnsi="Cambria Math" w:eastAsia="宋体" w:cs="宋体"/>
                    <w:i/>
                    <w:kern w:val="0"/>
                    <w:szCs w:val="21"/>
                  </w:rPr>
                </m:ctrlPr>
              </m:den>
            </m:f>
            <m:r>
              <m:rPr/>
              <w:rPr>
                <w:rFonts w:hint="eastAsia" w:ascii="Cambria Math" w:hAnsi="Cambria Math" w:eastAsia="宋体" w:cs="宋体"/>
                <w:kern w:val="0"/>
                <w:szCs w:val="21"/>
              </w:rPr>
              <m:t>+</m:t>
            </m:r>
            <m:f>
              <m:fPr>
                <m:ctrlPr>
                  <w:rPr>
                    <w:rFonts w:hint="eastAsia" w:ascii="Cambria Math" w:hAnsi="Cambria Math" w:eastAsia="宋体" w:cs="宋体"/>
                    <w:i/>
                    <w:kern w:val="0"/>
                    <w:szCs w:val="21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eastAsia" w:ascii="Cambria Math" w:hAnsi="Cambria Math" w:eastAsia="宋体" w:cs="宋体"/>
                    <w:kern w:val="0"/>
                    <w:szCs w:val="21"/>
                  </w:rPr>
                  <m:t>第</m:t>
                </m:r>
                <m:r>
                  <m:rPr/>
                  <w:rPr>
                    <w:rFonts w:hint="eastAsia" w:ascii="Cambria Math" w:hAnsi="Cambria Math" w:eastAsia="宋体" w:cs="宋体"/>
                    <w:kern w:val="0"/>
                    <w:szCs w:val="21"/>
                  </w:rPr>
                  <m:t>n</m:t>
                </m:r>
                <m:r>
                  <m:rPr>
                    <m:sty m:val="p"/>
                  </m:rPr>
                  <w:rPr>
                    <w:rFonts w:hint="eastAsia" w:ascii="Cambria Math" w:hAnsi="Cambria Math" w:eastAsia="宋体" w:cs="宋体"/>
                    <w:kern w:val="0"/>
                    <w:szCs w:val="21"/>
                  </w:rPr>
                  <m:t>季季末所有者权益+第</m:t>
                </m:r>
                <m:r>
                  <m:rPr/>
                  <w:rPr>
                    <w:rFonts w:hint="eastAsia" w:ascii="Cambria Math" w:hAnsi="Cambria Math" w:eastAsia="宋体" w:cs="宋体"/>
                    <w:kern w:val="0"/>
                    <w:szCs w:val="21"/>
                  </w:rPr>
                  <m:t>n</m:t>
                </m:r>
                <m:r>
                  <m:rPr>
                    <m:sty m:val="p"/>
                  </m:rPr>
                  <w:rPr>
                    <w:rFonts w:hint="eastAsia" w:ascii="Cambria Math" w:hAnsi="Cambria Math" w:eastAsia="宋体" w:cs="宋体"/>
                    <w:kern w:val="0"/>
                    <w:szCs w:val="21"/>
                  </w:rPr>
                  <m:t>季季末CEA（免费）</m:t>
                </m:r>
                <m:ctrlPr>
                  <w:rPr>
                    <w:rFonts w:hint="eastAsia" w:ascii="Cambria Math" w:hAnsi="Cambria Math" w:eastAsia="宋体" w:cs="宋体"/>
                    <w:i/>
                    <w:kern w:val="0"/>
                    <w:szCs w:val="21"/>
                  </w:rPr>
                </m:ctrlPr>
              </m:num>
              <m:den>
                <m:sSup>
                  <m:sSupPr>
                    <m:ctrlPr>
                      <w:rPr>
                        <w:rFonts w:hint="eastAsia" w:ascii="Cambria Math" w:hAnsi="Cambria Math" w:eastAsia="宋体" w:cs="宋体"/>
                        <w:i/>
                        <w:kern w:val="0"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hint="eastAsia" w:ascii="Cambria Math" w:hAnsi="Cambria Math" w:eastAsia="宋体" w:cs="宋体"/>
                            <w:i/>
                            <w:kern w:val="0"/>
                            <w:szCs w:val="21"/>
                          </w:rPr>
                        </m:ctrlPr>
                      </m:dPr>
                      <m:e>
                        <m:r>
                          <m:rPr/>
                          <w:rPr>
                            <w:rFonts w:hint="eastAsia" w:ascii="Cambria Math" w:hAnsi="Cambria Math" w:eastAsia="宋体" w:cs="宋体"/>
                            <w:kern w:val="0"/>
                            <w:szCs w:val="21"/>
                          </w:rPr>
                          <m:t>1+k/4</m:t>
                        </m:r>
                        <m:ctrlPr>
                          <w:rPr>
                            <w:rFonts w:hint="eastAsia" w:ascii="Cambria Math" w:hAnsi="Cambria Math" w:eastAsia="宋体" w:cs="宋体"/>
                            <w:i/>
                            <w:kern w:val="0"/>
                            <w:szCs w:val="21"/>
                          </w:rPr>
                        </m:ctrlPr>
                      </m:e>
                    </m:d>
                    <m:ctrlPr>
                      <w:rPr>
                        <w:rFonts w:hint="eastAsia" w:ascii="Cambria Math" w:hAnsi="Cambria Math" w:eastAsia="宋体" w:cs="宋体"/>
                        <w:i/>
                        <w:kern w:val="0"/>
                        <w:szCs w:val="21"/>
                      </w:rPr>
                    </m:ctrlPr>
                  </m:e>
                  <m:sup>
                    <m:r>
                      <m:rPr/>
                      <w:rPr>
                        <w:rFonts w:hint="eastAsia" w:ascii="Cambria Math" w:hAnsi="Cambria Math" w:eastAsia="宋体" w:cs="宋体"/>
                        <w:kern w:val="0"/>
                        <w:szCs w:val="21"/>
                      </w:rPr>
                      <m:t>n</m:t>
                    </m:r>
                    <m:ctrlPr>
                      <w:rPr>
                        <w:rFonts w:hint="eastAsia" w:ascii="Cambria Math" w:hAnsi="Cambria Math" w:eastAsia="宋体" w:cs="宋体"/>
                        <w:i/>
                        <w:kern w:val="0"/>
                        <w:szCs w:val="21"/>
                      </w:rPr>
                    </m:ctrlPr>
                  </m:sup>
                </m:sSup>
                <m:ctrlPr>
                  <w:rPr>
                    <w:rFonts w:hint="eastAsia" w:ascii="Cambria Math" w:hAnsi="Cambria Math" w:eastAsia="宋体" w:cs="宋体"/>
                    <w:i/>
                    <w:kern w:val="0"/>
                    <w:szCs w:val="21"/>
                  </w:rPr>
                </m:ctrlPr>
              </m:den>
            </m:f>
            <m:r>
              <m:rPr/>
              <w:rPr>
                <w:rFonts w:hint="eastAsia" w:ascii="Cambria Math" w:hAnsi="Cambria Math" w:eastAsia="宋体" w:cs="宋体"/>
                <w:kern w:val="0"/>
                <w:szCs w:val="21"/>
              </w:rPr>
              <m:t>−</m:t>
            </m:r>
            <m:r>
              <m:rPr>
                <m:sty m:val="p"/>
              </m:rPr>
              <w:rPr>
                <w:rFonts w:hint="eastAsia" w:ascii="Cambria Math" w:hAnsi="Cambria Math" w:eastAsia="宋体" w:cs="宋体"/>
                <w:kern w:val="0"/>
                <w:szCs w:val="21"/>
              </w:rPr>
              <m:t>第0季季初所有者权益</m:t>
            </m:r>
            <m:ctrlPr>
              <w:rPr>
                <w:rFonts w:hint="eastAsia" w:ascii="Cambria Math" w:hAnsi="Cambria Math" w:eastAsia="宋体" w:cs="宋体"/>
                <w:kern w:val="0"/>
                <w:szCs w:val="21"/>
              </w:rPr>
            </m:ctrlPr>
          </m:e>
        </m:nary>
      </m:oMath>
      <w:r>
        <w:rPr>
          <w:rFonts w:hint="eastAsia" w:ascii="宋体" w:hAnsi="宋体" w:eastAsia="宋体" w:cs="宋体"/>
          <w:kern w:val="0"/>
          <w:szCs w:val="21"/>
        </w:rPr>
        <w:t xml:space="preserve"> </w:t>
      </w:r>
    </w:p>
    <w:p w14:paraId="40C3CED6">
      <w:pPr>
        <w:tabs>
          <w:tab w:val="left" w:pos="1620"/>
        </w:tabs>
        <w:spacing w:line="44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式中，k为折现率，根据具体情况设置；n为经营季度数。</w:t>
      </w:r>
    </w:p>
    <w:p w14:paraId="32E2C34E">
      <w:pPr>
        <w:widowControl/>
        <w:spacing w:line="360" w:lineRule="auto"/>
        <w:jc w:val="center"/>
        <w:rPr>
          <w:rFonts w:hint="eastAsia" w:ascii="宋体" w:hAnsi="宋体" w:eastAsia="宋体" w:cs="宋体"/>
          <w:kern w:val="0"/>
          <w:szCs w:val="21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宋体" w:cs="宋体"/>
              <w:kern w:val="0"/>
              <w:szCs w:val="21"/>
            </w:rPr>
            <m:t>净现值评分=</m:t>
          </m:r>
          <m:f>
            <m:fPr>
              <m:ctrlPr>
                <w:rPr>
                  <w:rFonts w:hint="eastAsia" w:ascii="Cambria Math" w:hAnsi="Cambria Math" w:eastAsia="宋体" w:cs="宋体"/>
                  <w:kern w:val="0"/>
                  <w:szCs w:val="21"/>
                </w:rPr>
              </m:ctrlPr>
            </m:fPr>
            <m:num>
              <m:r>
                <m:rPr>
                  <m:sty m:val="p"/>
                </m:rPr>
                <w:rPr>
                  <w:rFonts w:hint="eastAsia" w:ascii="Cambria Math" w:hAnsi="Cambria Math" w:eastAsia="宋体" w:cs="宋体"/>
                  <w:kern w:val="0"/>
                  <w:szCs w:val="21"/>
                </w:rPr>
                <m:t>该企业第</m:t>
              </m:r>
              <m:r>
                <m:rPr/>
                <w:rPr>
                  <w:rFonts w:hint="eastAsia" w:ascii="Cambria Math" w:hAnsi="Cambria Math" w:eastAsia="宋体" w:cs="宋体"/>
                  <w:kern w:val="0"/>
                  <w:szCs w:val="21"/>
                </w:rPr>
                <m:t>n</m:t>
              </m:r>
              <m:r>
                <m:rPr>
                  <m:sty m:val="p"/>
                </m:rPr>
                <w:rPr>
                  <w:rFonts w:hint="eastAsia" w:ascii="Cambria Math" w:hAnsi="Cambria Math" w:eastAsia="宋体" w:cs="宋体"/>
                  <w:kern w:val="0"/>
                  <w:szCs w:val="21"/>
                </w:rPr>
                <m:t>季末净现值</m:t>
              </m:r>
              <m:ctrlPr>
                <w:rPr>
                  <w:rFonts w:hint="eastAsia" w:ascii="Cambria Math" w:hAnsi="Cambria Math" w:eastAsia="宋体" w:cs="宋体"/>
                  <w:kern w:val="0"/>
                  <w:szCs w:val="21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宋体" w:cs="宋体"/>
                  <w:kern w:val="0"/>
                  <w:szCs w:val="21"/>
                </w:rPr>
                <m:t>第</m:t>
              </m:r>
              <m:r>
                <m:rPr/>
                <w:rPr>
                  <w:rFonts w:hint="eastAsia" w:ascii="Cambria Math" w:hAnsi="Cambria Math" w:eastAsia="宋体" w:cs="宋体"/>
                  <w:kern w:val="0"/>
                  <w:szCs w:val="21"/>
                </w:rPr>
                <m:t>n</m:t>
              </m:r>
              <m:r>
                <m:rPr>
                  <m:sty m:val="p"/>
                </m:rPr>
                <w:rPr>
                  <w:rFonts w:hint="eastAsia" w:ascii="Cambria Math" w:hAnsi="Cambria Math" w:eastAsia="宋体" w:cs="宋体"/>
                  <w:kern w:val="0"/>
                  <w:szCs w:val="21"/>
                </w:rPr>
                <m:t>季末最高净现值</m:t>
              </m:r>
              <m:ctrlPr>
                <w:rPr>
                  <w:rFonts w:hint="eastAsia" w:ascii="Cambria Math" w:hAnsi="Cambria Math" w:eastAsia="宋体" w:cs="宋体"/>
                  <w:kern w:val="0"/>
                  <w:szCs w:val="21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宋体"/>
              <w:kern w:val="0"/>
              <w:szCs w:val="21"/>
            </w:rPr>
            <m:t>×一级指标满分值</m:t>
          </m:r>
        </m:oMath>
      </m:oMathPara>
    </w:p>
    <w:p w14:paraId="406B5FD4">
      <w:pPr>
        <w:tabs>
          <w:tab w:val="left" w:pos="1620"/>
        </w:tabs>
        <w:spacing w:line="440" w:lineRule="exact"/>
        <w:ind w:firstLine="480" w:firstLineChars="200"/>
        <w:jc w:val="center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盈利能力评分=净现值评分</w:t>
      </w:r>
    </w:p>
    <w:p w14:paraId="72480F58">
      <w:pPr>
        <w:tabs>
          <w:tab w:val="left" w:pos="1620"/>
        </w:tabs>
        <w:spacing w:line="44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如果该企业第n季末净现值小于等于0或者第n季末最高净现值小于等于0，则净现值评分为0，盈利能力评分也为0。</w:t>
      </w:r>
    </w:p>
    <w:p w14:paraId="64DE10F1">
      <w:pPr>
        <w:spacing w:before="156" w:beforeLines="50"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2）偿债能力</w:t>
      </w:r>
    </w:p>
    <w:p w14:paraId="363CE450">
      <w:pPr>
        <w:tabs>
          <w:tab w:val="left" w:pos="720"/>
        </w:tabs>
        <w:spacing w:line="440" w:lineRule="exact"/>
        <w:ind w:firstLine="480" w:firstLineChars="200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偿债能力由资产负债率衡量，资产负债率应该控制在一定的合理区间，具体评分标准如表3所示。</w:t>
      </w:r>
    </w:p>
    <w:p w14:paraId="590FA714">
      <w:pPr>
        <w:spacing w:line="360" w:lineRule="auto"/>
        <w:ind w:firstLine="482" w:firstLineChars="20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表3 偿债能力评分标准</w:t>
      </w:r>
    </w:p>
    <w:tbl>
      <w:tblPr>
        <w:tblStyle w:val="15"/>
        <w:tblW w:w="48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1323"/>
        <w:gridCol w:w="1402"/>
        <w:gridCol w:w="1340"/>
        <w:gridCol w:w="1452"/>
        <w:gridCol w:w="1355"/>
      </w:tblGrid>
      <w:tr w14:paraId="7C570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943" w:type="pct"/>
            <w:vAlign w:val="center"/>
          </w:tcPr>
          <w:p w14:paraId="4889982F">
            <w:pPr>
              <w:tabs>
                <w:tab w:val="left" w:pos="720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资产负债率</w:t>
            </w:r>
          </w:p>
        </w:tc>
        <w:tc>
          <w:tcPr>
            <w:tcW w:w="781" w:type="pct"/>
            <w:vAlign w:val="center"/>
          </w:tcPr>
          <w:p w14:paraId="61A02ED2">
            <w:pPr>
              <w:tabs>
                <w:tab w:val="left" w:pos="720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[0,0.6]</w:t>
            </w:r>
          </w:p>
        </w:tc>
        <w:tc>
          <w:tcPr>
            <w:tcW w:w="828" w:type="pct"/>
            <w:vAlign w:val="center"/>
          </w:tcPr>
          <w:p w14:paraId="59310FC5">
            <w:pPr>
              <w:tabs>
                <w:tab w:val="left" w:pos="720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(0.6,0.7]</w:t>
            </w:r>
          </w:p>
        </w:tc>
        <w:tc>
          <w:tcPr>
            <w:tcW w:w="791" w:type="pct"/>
            <w:vAlign w:val="center"/>
          </w:tcPr>
          <w:p w14:paraId="4A36DE78">
            <w:pPr>
              <w:tabs>
                <w:tab w:val="left" w:pos="720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(0.7,0.8]</w:t>
            </w:r>
          </w:p>
        </w:tc>
        <w:tc>
          <w:tcPr>
            <w:tcW w:w="857" w:type="pct"/>
            <w:vAlign w:val="center"/>
          </w:tcPr>
          <w:p w14:paraId="36017CA2">
            <w:pPr>
              <w:tabs>
                <w:tab w:val="left" w:pos="720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(0.8,0.9]</w:t>
            </w:r>
          </w:p>
        </w:tc>
        <w:tc>
          <w:tcPr>
            <w:tcW w:w="800" w:type="pct"/>
            <w:vAlign w:val="center"/>
          </w:tcPr>
          <w:p w14:paraId="721720ED">
            <w:pPr>
              <w:tabs>
                <w:tab w:val="left" w:pos="720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(0.9,1]</w:t>
            </w:r>
          </w:p>
        </w:tc>
      </w:tr>
      <w:tr w14:paraId="75A4B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43" w:type="pct"/>
            <w:vAlign w:val="center"/>
          </w:tcPr>
          <w:p w14:paraId="31E56017">
            <w:pPr>
              <w:tabs>
                <w:tab w:val="left" w:pos="720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评分</w:t>
            </w:r>
          </w:p>
        </w:tc>
        <w:tc>
          <w:tcPr>
            <w:tcW w:w="781" w:type="pct"/>
            <w:vAlign w:val="center"/>
          </w:tcPr>
          <w:p w14:paraId="47A4132B">
            <w:pPr>
              <w:tabs>
                <w:tab w:val="left" w:pos="720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28" w:type="pct"/>
            <w:vAlign w:val="center"/>
          </w:tcPr>
          <w:p w14:paraId="7C803707">
            <w:pPr>
              <w:tabs>
                <w:tab w:val="left" w:pos="720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4</w:t>
            </w:r>
          </w:p>
        </w:tc>
        <w:tc>
          <w:tcPr>
            <w:tcW w:w="791" w:type="pct"/>
            <w:vAlign w:val="center"/>
          </w:tcPr>
          <w:p w14:paraId="5DCC02A6">
            <w:pPr>
              <w:tabs>
                <w:tab w:val="left" w:pos="720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3</w:t>
            </w:r>
          </w:p>
        </w:tc>
        <w:tc>
          <w:tcPr>
            <w:tcW w:w="857" w:type="pct"/>
            <w:vAlign w:val="center"/>
          </w:tcPr>
          <w:p w14:paraId="768E84ED">
            <w:pPr>
              <w:tabs>
                <w:tab w:val="left" w:pos="720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2</w:t>
            </w:r>
          </w:p>
        </w:tc>
        <w:tc>
          <w:tcPr>
            <w:tcW w:w="800" w:type="pct"/>
            <w:vAlign w:val="center"/>
          </w:tcPr>
          <w:p w14:paraId="548E6425">
            <w:pPr>
              <w:tabs>
                <w:tab w:val="left" w:pos="720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shd w:val="clear" w:color="auto" w:fill="FFFFFF"/>
              </w:rPr>
              <w:t>1</w:t>
            </w:r>
          </w:p>
        </w:tc>
      </w:tr>
    </w:tbl>
    <w:p w14:paraId="4AFD557C">
      <w:pPr>
        <w:tabs>
          <w:tab w:val="left" w:pos="720"/>
        </w:tabs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偿债能力评分=资产负债率评分</w:t>
      </w:r>
    </w:p>
    <w:p w14:paraId="73C54A7D">
      <w:pPr>
        <w:spacing w:before="156" w:beforeLines="50" w:line="440" w:lineRule="exact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3）发展潜力</w:t>
      </w:r>
    </w:p>
    <w:p w14:paraId="72C79272">
      <w:pPr>
        <w:tabs>
          <w:tab w:val="left" w:pos="720"/>
        </w:tabs>
        <w:spacing w:line="440" w:lineRule="exact"/>
        <w:ind w:firstLine="480" w:firstLineChars="200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发展潜力由研发投入、营销投入和市场潜力三项指标衡量。</w:t>
      </w:r>
    </w:p>
    <w:p w14:paraId="6D4A1520">
      <w:pPr>
        <w:tabs>
          <w:tab w:val="left" w:pos="1620"/>
        </w:tabs>
        <w:spacing w:line="440" w:lineRule="exact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（1）研发投入：研发投入效果以产品质量指数衡量，质量指数越高，研发投入效果越好，评分越高。</w:t>
      </w:r>
    </w:p>
    <w:p w14:paraId="4E195440">
      <w:pPr>
        <w:widowControl/>
        <w:spacing w:line="360" w:lineRule="auto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宋体" w:cs="宋体"/>
              <w:color w:val="000000"/>
              <w:kern w:val="0"/>
              <w:sz w:val="24"/>
              <w:szCs w:val="24"/>
            </w:rPr>
            <m:t>研发投入评分=</m:t>
          </m:r>
          <m:f>
            <m:fPr>
              <m:ctrl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  <m:t>该企业第</m:t>
              </m:r>
              <m:r>
                <m:rPr/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  <m:t>n</m:t>
              </m:r>
              <m:r>
                <m:rPr>
                  <m:sty m:val="p"/>
                </m:r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  <m:t>季末质量指数</m:t>
              </m:r>
              <m:ctrl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  <m:t>第</m:t>
              </m:r>
              <m:r>
                <m:rPr/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  <m:t>n</m:t>
              </m:r>
              <m:r>
                <m:rPr>
                  <m:sty m:val="p"/>
                </m:r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  <m:t>季末最高质量指数</m:t>
              </m:r>
              <m:ctrl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宋体"/>
              <w:color w:val="000000"/>
              <w:kern w:val="0"/>
              <w:sz w:val="24"/>
              <w:szCs w:val="24"/>
            </w:rPr>
            <m:t>×二级指标满分值</m:t>
          </m:r>
        </m:oMath>
      </m:oMathPara>
    </w:p>
    <w:p w14:paraId="3CC1FD2F">
      <w:pPr>
        <w:tabs>
          <w:tab w:val="left" w:pos="1620"/>
        </w:tabs>
        <w:spacing w:line="44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如果该企业第n季末质量指数等于0或者第n季末最高质量指数等于0，则研发投入评分为0。</w:t>
      </w:r>
    </w:p>
    <w:p w14:paraId="791AB70F">
      <w:pPr>
        <w:tabs>
          <w:tab w:val="left" w:pos="1620"/>
        </w:tabs>
        <w:spacing w:line="440" w:lineRule="exact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（2）营销投入：营销投入效果以产品品牌指数来衡量，品牌指数越高，营销投入效果越好，评分越高。</w:t>
      </w:r>
    </w:p>
    <w:p w14:paraId="10EDA321">
      <w:pPr>
        <w:tabs>
          <w:tab w:val="left" w:pos="1620"/>
        </w:tabs>
        <w:spacing w:line="44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判定企业是否经营某市场的依据：如果某企业在最后3个季度（第6、7、8季度）没有投入任何营销费用，系统判定该企业已经放弃该市场，该市场不计算营销投入评分。</w:t>
      </w:r>
    </w:p>
    <w:p w14:paraId="0797D307">
      <w:pPr>
        <w:widowControl/>
        <w:spacing w:line="360" w:lineRule="auto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宋体" w:cs="宋体"/>
              <w:color w:val="000000"/>
              <w:kern w:val="0"/>
              <w:sz w:val="24"/>
              <w:szCs w:val="24"/>
            </w:rPr>
            <m:t>某市场营销投入评分=</m:t>
          </m:r>
          <m:f>
            <m:fPr>
              <m:ctrl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  <m:t>该企业某市场第</m:t>
              </m:r>
              <m:r>
                <m:rPr/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  <m:t>n</m:t>
              </m:r>
              <m:r>
                <m:rPr>
                  <m:sty m:val="p"/>
                </m:r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  <m:t>季末品牌指数</m:t>
              </m:r>
              <m:ctrl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  <m:t>某市场第</m:t>
              </m:r>
              <m:r>
                <m:rPr/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  <m:t>n</m:t>
              </m:r>
              <m:r>
                <m:rPr>
                  <m:sty m:val="p"/>
                </m:r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  <m:t>季末最高品牌指数</m:t>
              </m:r>
              <m:ctrl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宋体"/>
              <w:color w:val="000000"/>
              <w:kern w:val="0"/>
              <w:sz w:val="24"/>
              <w:szCs w:val="24"/>
            </w:rPr>
            <m:t>×二级指标满分值</m:t>
          </m:r>
        </m:oMath>
      </m:oMathPara>
    </w:p>
    <w:p w14:paraId="66876332">
      <w:pPr>
        <w:widowControl/>
        <w:spacing w:line="360" w:lineRule="auto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宋体" w:cs="宋体"/>
              <w:color w:val="000000"/>
              <w:kern w:val="0"/>
              <w:sz w:val="24"/>
              <w:szCs w:val="24"/>
            </w:rPr>
            <m:t>营销投入评分=企业所经营的各个市场营销投入评分的平均值</m:t>
          </m:r>
        </m:oMath>
      </m:oMathPara>
    </w:p>
    <w:p w14:paraId="72F56315">
      <w:pPr>
        <w:tabs>
          <w:tab w:val="left" w:pos="1620"/>
        </w:tabs>
        <w:spacing w:line="44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如果该企业某市场第n季末品牌指数等于0或者某市场第n季末最高品牌指数等于0，则该企业某市场营销投入评分为0。</w:t>
      </w:r>
    </w:p>
    <w:p w14:paraId="4AE70860">
      <w:pPr>
        <w:tabs>
          <w:tab w:val="left" w:pos="1620"/>
        </w:tabs>
        <w:spacing w:line="440" w:lineRule="exact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（3）市场潜力：市场潜力以该企业第n季末总市场占有率来衡量，市场占有率越高，评分越高。</w:t>
      </w:r>
    </w:p>
    <w:p w14:paraId="1C392C82">
      <w:pPr>
        <w:widowControl/>
        <w:spacing w:line="360" w:lineRule="auto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宋体" w:cs="宋体"/>
              <w:color w:val="000000"/>
              <w:kern w:val="0"/>
              <w:sz w:val="24"/>
              <w:szCs w:val="24"/>
            </w:rPr>
            <m:t>市场潜力评分=</m:t>
          </m:r>
          <m:f>
            <m:fPr>
              <m:ctrl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  <m:t>该企业第</m:t>
              </m:r>
              <m:r>
                <m:rPr/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  <m:t>n</m:t>
              </m:r>
              <m:r>
                <m:rPr>
                  <m:sty m:val="p"/>
                </m:r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  <m:t>季末总市场占有率</m:t>
              </m:r>
              <m:ctrl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  <m:t>第</m:t>
              </m:r>
              <m:r>
                <m:rPr/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  <m:t>n</m:t>
              </m:r>
              <m:r>
                <m:rPr>
                  <m:sty m:val="p"/>
                </m:r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  <m:t>季末最高市场占有率</m:t>
              </m:r>
              <m:ctrl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宋体"/>
              <w:color w:val="000000"/>
              <w:kern w:val="0"/>
              <w:sz w:val="24"/>
              <w:szCs w:val="24"/>
            </w:rPr>
            <m:t>×二级指标满分值</m:t>
          </m:r>
        </m:oMath>
      </m:oMathPara>
    </w:p>
    <w:p w14:paraId="586D44B4">
      <w:pPr>
        <w:widowControl/>
        <w:spacing w:line="360" w:lineRule="auto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宋体" w:cs="宋体"/>
              <w:color w:val="000000"/>
              <w:kern w:val="0"/>
              <w:sz w:val="24"/>
              <w:szCs w:val="24"/>
            </w:rPr>
            <m:t>第</m:t>
          </m:r>
          <m:r>
            <m:rPr/>
            <w:rPr>
              <w:rFonts w:hint="eastAsia" w:ascii="Cambria Math" w:hAnsi="Cambria Math" w:eastAsia="宋体" w:cs="宋体"/>
              <w:color w:val="000000"/>
              <w:kern w:val="0"/>
              <w:sz w:val="24"/>
              <w:szCs w:val="24"/>
            </w:rPr>
            <m:t>n</m:t>
          </m:r>
          <m:r>
            <m:rPr>
              <m:sty m:val="p"/>
            </m:rPr>
            <w:rPr>
              <w:rFonts w:hint="eastAsia" w:ascii="Cambria Math" w:hAnsi="Cambria Math" w:eastAsia="宋体" w:cs="宋体"/>
              <w:color w:val="000000"/>
              <w:kern w:val="0"/>
              <w:sz w:val="24"/>
              <w:szCs w:val="24"/>
            </w:rPr>
            <m:t>季末总市场占有率=</m:t>
          </m:r>
          <m:f>
            <m:fPr>
              <m:ctrl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  <m:t>该企业各个季度销售量之和</m:t>
              </m:r>
              <m:ctrl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  <m:t>所有企业各个季度销售量之和</m:t>
              </m:r>
              <m:ctrlPr>
                <w:rPr>
                  <w:rFonts w:hint="eastAsia" w:ascii="Cambria Math" w:hAnsi="Cambria Math" w:eastAsia="宋体" w:cs="宋体"/>
                  <w:color w:val="000000"/>
                  <w:kern w:val="0"/>
                  <w:sz w:val="24"/>
                  <w:szCs w:val="24"/>
                </w:rPr>
              </m:ctrlPr>
            </m:den>
          </m:f>
        </m:oMath>
      </m:oMathPara>
    </w:p>
    <w:p w14:paraId="72F1802F">
      <w:pPr>
        <w:tabs>
          <w:tab w:val="left" w:pos="1620"/>
        </w:tabs>
        <w:spacing w:line="44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如果该企业第n季末市场占有率等于0或者第n季末最高市场占有率等于0，则市场潜力评分为0。</w:t>
      </w:r>
    </w:p>
    <w:p w14:paraId="35CF8043">
      <w:pPr>
        <w:tabs>
          <w:tab w:val="left" w:pos="1620"/>
        </w:tabs>
        <w:spacing w:line="440" w:lineRule="exact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发展潜力评分=研发投入评分+营销投入评分+市场潜力评分。</w:t>
      </w:r>
    </w:p>
    <w:p w14:paraId="74786779">
      <w:pPr>
        <w:spacing w:before="156" w:beforeLines="50"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4）团队表现</w:t>
      </w:r>
    </w:p>
    <w:p w14:paraId="4A2684B1">
      <w:pPr>
        <w:tabs>
          <w:tab w:val="left" w:pos="1620"/>
        </w:tabs>
        <w:spacing w:line="440" w:lineRule="exact"/>
        <w:ind w:firstLine="480" w:firstLineChars="200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团队表现按采购表现、生产表现、财务表现等相关对应指标，满分为10分，采用扣分制，按实际发生扣分项目和次数进行累计扣减，扣完为止，具体扣分项如表4所示。</w:t>
      </w:r>
    </w:p>
    <w:p w14:paraId="42BD5E55">
      <w:pPr>
        <w:spacing w:line="360" w:lineRule="auto"/>
        <w:ind w:firstLine="482" w:firstLineChars="20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表4 团队表现评分标准</w:t>
      </w:r>
    </w:p>
    <w:tbl>
      <w:tblPr>
        <w:tblStyle w:val="15"/>
        <w:tblW w:w="48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92"/>
        <w:gridCol w:w="1846"/>
        <w:gridCol w:w="2178"/>
        <w:gridCol w:w="1268"/>
        <w:gridCol w:w="2099"/>
      </w:tblGrid>
      <w:tr w14:paraId="697F3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atLeast"/>
          <w:jc w:val="center"/>
        </w:trPr>
        <w:tc>
          <w:tcPr>
            <w:tcW w:w="484" w:type="pct"/>
            <w:vAlign w:val="center"/>
          </w:tcPr>
          <w:p w14:paraId="75D8A929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2459" w:type="pct"/>
            <w:gridSpan w:val="2"/>
            <w:vAlign w:val="center"/>
          </w:tcPr>
          <w:p w14:paraId="13DE7246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扣分项目</w:t>
            </w:r>
          </w:p>
        </w:tc>
        <w:tc>
          <w:tcPr>
            <w:tcW w:w="775" w:type="pct"/>
            <w:vAlign w:val="center"/>
          </w:tcPr>
          <w:p w14:paraId="57D29BF4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分值</w:t>
            </w:r>
          </w:p>
        </w:tc>
        <w:tc>
          <w:tcPr>
            <w:tcW w:w="1282" w:type="pct"/>
            <w:vAlign w:val="center"/>
          </w:tcPr>
          <w:p w14:paraId="45B5C624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备注</w:t>
            </w:r>
          </w:p>
        </w:tc>
      </w:tr>
      <w:tr w14:paraId="3330A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  <w:jc w:val="center"/>
        </w:trPr>
        <w:tc>
          <w:tcPr>
            <w:tcW w:w="484" w:type="pct"/>
            <w:vAlign w:val="center"/>
          </w:tcPr>
          <w:p w14:paraId="51B3E4F8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</w:t>
            </w:r>
          </w:p>
        </w:tc>
        <w:tc>
          <w:tcPr>
            <w:tcW w:w="1128" w:type="pct"/>
            <w:vMerge w:val="restart"/>
            <w:vAlign w:val="center"/>
          </w:tcPr>
          <w:p w14:paraId="7D63E544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  <w:p w14:paraId="7C5F6679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非正常负债数值</w:t>
            </w:r>
          </w:p>
          <w:p w14:paraId="72EB2B10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（万元）</w:t>
            </w:r>
          </w:p>
        </w:tc>
        <w:tc>
          <w:tcPr>
            <w:tcW w:w="1331" w:type="pct"/>
            <w:vAlign w:val="center"/>
          </w:tcPr>
          <w:p w14:paraId="42DFEF70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（0，50]</w:t>
            </w:r>
          </w:p>
        </w:tc>
        <w:tc>
          <w:tcPr>
            <w:tcW w:w="775" w:type="pct"/>
            <w:vAlign w:val="center"/>
          </w:tcPr>
          <w:p w14:paraId="23F16173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0.5分</w:t>
            </w:r>
          </w:p>
        </w:tc>
        <w:tc>
          <w:tcPr>
            <w:tcW w:w="1282" w:type="pct"/>
            <w:vAlign w:val="center"/>
          </w:tcPr>
          <w:p w14:paraId="7E34305F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按次扣分累加</w:t>
            </w:r>
          </w:p>
        </w:tc>
      </w:tr>
      <w:tr w14:paraId="40244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2" w:hRule="atLeast"/>
          <w:jc w:val="center"/>
        </w:trPr>
        <w:tc>
          <w:tcPr>
            <w:tcW w:w="484" w:type="pct"/>
            <w:vAlign w:val="center"/>
          </w:tcPr>
          <w:p w14:paraId="6C1708F8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2</w:t>
            </w:r>
          </w:p>
        </w:tc>
        <w:tc>
          <w:tcPr>
            <w:tcW w:w="1128" w:type="pct"/>
            <w:vMerge w:val="continue"/>
            <w:vAlign w:val="center"/>
          </w:tcPr>
          <w:p w14:paraId="4ABFFBE4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331" w:type="pct"/>
            <w:vAlign w:val="center"/>
          </w:tcPr>
          <w:p w14:paraId="422F45F3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（50，100]</w:t>
            </w:r>
          </w:p>
        </w:tc>
        <w:tc>
          <w:tcPr>
            <w:tcW w:w="775" w:type="pct"/>
            <w:vAlign w:val="center"/>
          </w:tcPr>
          <w:p w14:paraId="2A9B593D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1分</w:t>
            </w:r>
          </w:p>
        </w:tc>
        <w:tc>
          <w:tcPr>
            <w:tcW w:w="1282" w:type="pct"/>
            <w:vAlign w:val="center"/>
          </w:tcPr>
          <w:p w14:paraId="24BB4A76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按次扣分累加</w:t>
            </w:r>
          </w:p>
        </w:tc>
      </w:tr>
      <w:tr w14:paraId="3EEFF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 w:hRule="atLeast"/>
          <w:jc w:val="center"/>
        </w:trPr>
        <w:tc>
          <w:tcPr>
            <w:tcW w:w="484" w:type="pct"/>
            <w:vAlign w:val="center"/>
          </w:tcPr>
          <w:p w14:paraId="4AD49057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3</w:t>
            </w:r>
          </w:p>
        </w:tc>
        <w:tc>
          <w:tcPr>
            <w:tcW w:w="1128" w:type="pct"/>
            <w:vMerge w:val="continue"/>
            <w:vAlign w:val="center"/>
          </w:tcPr>
          <w:p w14:paraId="57B2237C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331" w:type="pct"/>
            <w:vAlign w:val="center"/>
          </w:tcPr>
          <w:p w14:paraId="680829A1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（100，150]</w:t>
            </w:r>
          </w:p>
        </w:tc>
        <w:tc>
          <w:tcPr>
            <w:tcW w:w="775" w:type="pct"/>
            <w:vAlign w:val="center"/>
          </w:tcPr>
          <w:p w14:paraId="1C3200AC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1.5分</w:t>
            </w:r>
          </w:p>
        </w:tc>
        <w:tc>
          <w:tcPr>
            <w:tcW w:w="1282" w:type="pct"/>
            <w:vAlign w:val="center"/>
          </w:tcPr>
          <w:p w14:paraId="455091A3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按次扣分累加</w:t>
            </w:r>
          </w:p>
        </w:tc>
      </w:tr>
      <w:tr w14:paraId="67868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 w:hRule="atLeast"/>
          <w:jc w:val="center"/>
        </w:trPr>
        <w:tc>
          <w:tcPr>
            <w:tcW w:w="484" w:type="pct"/>
            <w:vAlign w:val="center"/>
          </w:tcPr>
          <w:p w14:paraId="1783A27A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4</w:t>
            </w:r>
          </w:p>
        </w:tc>
        <w:tc>
          <w:tcPr>
            <w:tcW w:w="1128" w:type="pct"/>
            <w:vMerge w:val="continue"/>
            <w:vAlign w:val="center"/>
          </w:tcPr>
          <w:p w14:paraId="2FFCCD7B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331" w:type="pct"/>
            <w:vAlign w:val="center"/>
          </w:tcPr>
          <w:p w14:paraId="1063B324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（150，200]</w:t>
            </w:r>
          </w:p>
        </w:tc>
        <w:tc>
          <w:tcPr>
            <w:tcW w:w="775" w:type="pct"/>
            <w:vAlign w:val="center"/>
          </w:tcPr>
          <w:p w14:paraId="5BDC1C2E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2分</w:t>
            </w:r>
          </w:p>
        </w:tc>
        <w:tc>
          <w:tcPr>
            <w:tcW w:w="1282" w:type="pct"/>
            <w:vAlign w:val="center"/>
          </w:tcPr>
          <w:p w14:paraId="26320214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按次扣分累加</w:t>
            </w:r>
          </w:p>
        </w:tc>
      </w:tr>
      <w:tr w14:paraId="50240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5" w:hRule="atLeast"/>
          <w:jc w:val="center"/>
        </w:trPr>
        <w:tc>
          <w:tcPr>
            <w:tcW w:w="484" w:type="pct"/>
            <w:vAlign w:val="center"/>
          </w:tcPr>
          <w:p w14:paraId="2FC0B040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5</w:t>
            </w:r>
          </w:p>
        </w:tc>
        <w:tc>
          <w:tcPr>
            <w:tcW w:w="1128" w:type="pct"/>
            <w:vMerge w:val="continue"/>
            <w:vAlign w:val="center"/>
          </w:tcPr>
          <w:p w14:paraId="0E365807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331" w:type="pct"/>
            <w:vAlign w:val="center"/>
          </w:tcPr>
          <w:p w14:paraId="55DBB0AD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（200，+∞）</w:t>
            </w:r>
          </w:p>
        </w:tc>
        <w:tc>
          <w:tcPr>
            <w:tcW w:w="775" w:type="pct"/>
            <w:vAlign w:val="center"/>
          </w:tcPr>
          <w:p w14:paraId="6815B629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2.5分</w:t>
            </w:r>
          </w:p>
        </w:tc>
        <w:tc>
          <w:tcPr>
            <w:tcW w:w="1282" w:type="pct"/>
            <w:vAlign w:val="center"/>
          </w:tcPr>
          <w:p w14:paraId="23FA3084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按次扣分累加</w:t>
            </w:r>
          </w:p>
        </w:tc>
      </w:tr>
      <w:tr w14:paraId="77BE7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7" w:hRule="atLeast"/>
          <w:jc w:val="center"/>
        </w:trPr>
        <w:tc>
          <w:tcPr>
            <w:tcW w:w="484" w:type="pct"/>
            <w:vAlign w:val="center"/>
          </w:tcPr>
          <w:p w14:paraId="114D1B9F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6</w:t>
            </w:r>
          </w:p>
        </w:tc>
        <w:tc>
          <w:tcPr>
            <w:tcW w:w="1128" w:type="pct"/>
            <w:vMerge w:val="restart"/>
            <w:vAlign w:val="center"/>
          </w:tcPr>
          <w:p w14:paraId="562960CD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借款剩余值</w:t>
            </w:r>
          </w:p>
          <w:p w14:paraId="0C73819A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（万元）</w:t>
            </w:r>
          </w:p>
        </w:tc>
        <w:tc>
          <w:tcPr>
            <w:tcW w:w="1331" w:type="pct"/>
            <w:vAlign w:val="center"/>
          </w:tcPr>
          <w:p w14:paraId="463F9E5A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[0，50]</w:t>
            </w:r>
          </w:p>
        </w:tc>
        <w:tc>
          <w:tcPr>
            <w:tcW w:w="775" w:type="pct"/>
            <w:vAlign w:val="center"/>
          </w:tcPr>
          <w:p w14:paraId="11AABF62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0分</w:t>
            </w:r>
          </w:p>
        </w:tc>
        <w:tc>
          <w:tcPr>
            <w:tcW w:w="1282" w:type="pct"/>
            <w:vAlign w:val="center"/>
          </w:tcPr>
          <w:p w14:paraId="5E7CE087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按次扣分累加</w:t>
            </w:r>
          </w:p>
        </w:tc>
      </w:tr>
      <w:tr w14:paraId="672BB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7" w:hRule="atLeast"/>
          <w:jc w:val="center"/>
        </w:trPr>
        <w:tc>
          <w:tcPr>
            <w:tcW w:w="484" w:type="pct"/>
            <w:vAlign w:val="center"/>
          </w:tcPr>
          <w:p w14:paraId="600CD9FB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7</w:t>
            </w:r>
          </w:p>
        </w:tc>
        <w:tc>
          <w:tcPr>
            <w:tcW w:w="1128" w:type="pct"/>
            <w:vMerge w:val="continue"/>
            <w:vAlign w:val="center"/>
          </w:tcPr>
          <w:p w14:paraId="681351B7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331" w:type="pct"/>
            <w:vAlign w:val="center"/>
          </w:tcPr>
          <w:p w14:paraId="4832CA06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（50，100]</w:t>
            </w:r>
          </w:p>
        </w:tc>
        <w:tc>
          <w:tcPr>
            <w:tcW w:w="775" w:type="pct"/>
            <w:vAlign w:val="center"/>
          </w:tcPr>
          <w:p w14:paraId="5F7D1B46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0.5分</w:t>
            </w:r>
          </w:p>
        </w:tc>
        <w:tc>
          <w:tcPr>
            <w:tcW w:w="1282" w:type="pct"/>
            <w:vAlign w:val="center"/>
          </w:tcPr>
          <w:p w14:paraId="5D8C3720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按次扣分累加</w:t>
            </w:r>
          </w:p>
        </w:tc>
      </w:tr>
      <w:tr w14:paraId="6E859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9" w:hRule="atLeast"/>
          <w:jc w:val="center"/>
        </w:trPr>
        <w:tc>
          <w:tcPr>
            <w:tcW w:w="484" w:type="pct"/>
            <w:vAlign w:val="center"/>
          </w:tcPr>
          <w:p w14:paraId="137D9B74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8</w:t>
            </w:r>
          </w:p>
        </w:tc>
        <w:tc>
          <w:tcPr>
            <w:tcW w:w="1128" w:type="pct"/>
            <w:vMerge w:val="continue"/>
            <w:vAlign w:val="center"/>
          </w:tcPr>
          <w:p w14:paraId="54C16092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331" w:type="pct"/>
            <w:vAlign w:val="center"/>
          </w:tcPr>
          <w:p w14:paraId="19A29A0E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（100，150]</w:t>
            </w:r>
          </w:p>
        </w:tc>
        <w:tc>
          <w:tcPr>
            <w:tcW w:w="775" w:type="pct"/>
            <w:vAlign w:val="center"/>
          </w:tcPr>
          <w:p w14:paraId="0DFCDCD6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1分</w:t>
            </w:r>
          </w:p>
        </w:tc>
        <w:tc>
          <w:tcPr>
            <w:tcW w:w="1282" w:type="pct"/>
            <w:vAlign w:val="center"/>
          </w:tcPr>
          <w:p w14:paraId="38B0B7BD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按次扣分累加</w:t>
            </w:r>
          </w:p>
        </w:tc>
      </w:tr>
      <w:tr w14:paraId="1D72C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5" w:hRule="atLeast"/>
          <w:jc w:val="center"/>
        </w:trPr>
        <w:tc>
          <w:tcPr>
            <w:tcW w:w="484" w:type="pct"/>
            <w:vAlign w:val="center"/>
          </w:tcPr>
          <w:p w14:paraId="161C0655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9</w:t>
            </w:r>
          </w:p>
        </w:tc>
        <w:tc>
          <w:tcPr>
            <w:tcW w:w="1128" w:type="pct"/>
            <w:vMerge w:val="continue"/>
            <w:vAlign w:val="center"/>
          </w:tcPr>
          <w:p w14:paraId="4C2BB356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331" w:type="pct"/>
            <w:vAlign w:val="center"/>
          </w:tcPr>
          <w:p w14:paraId="438BB685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（150，200]</w:t>
            </w:r>
          </w:p>
        </w:tc>
        <w:tc>
          <w:tcPr>
            <w:tcW w:w="775" w:type="pct"/>
            <w:vAlign w:val="center"/>
          </w:tcPr>
          <w:p w14:paraId="61E5E2B5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1.5分</w:t>
            </w:r>
          </w:p>
        </w:tc>
        <w:tc>
          <w:tcPr>
            <w:tcW w:w="1282" w:type="pct"/>
            <w:vAlign w:val="center"/>
          </w:tcPr>
          <w:p w14:paraId="4B372427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按次扣分累加</w:t>
            </w:r>
          </w:p>
        </w:tc>
      </w:tr>
      <w:tr w14:paraId="7508F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7" w:hRule="atLeast"/>
          <w:jc w:val="center"/>
        </w:trPr>
        <w:tc>
          <w:tcPr>
            <w:tcW w:w="484" w:type="pct"/>
            <w:vAlign w:val="center"/>
          </w:tcPr>
          <w:p w14:paraId="56BB910E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10</w:t>
            </w:r>
          </w:p>
        </w:tc>
        <w:tc>
          <w:tcPr>
            <w:tcW w:w="1128" w:type="pct"/>
            <w:vMerge w:val="continue"/>
            <w:vAlign w:val="center"/>
          </w:tcPr>
          <w:p w14:paraId="74B89A61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1331" w:type="pct"/>
            <w:vAlign w:val="center"/>
          </w:tcPr>
          <w:p w14:paraId="69076256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（200，+∞）</w:t>
            </w:r>
          </w:p>
        </w:tc>
        <w:tc>
          <w:tcPr>
            <w:tcW w:w="775" w:type="pct"/>
            <w:vAlign w:val="center"/>
          </w:tcPr>
          <w:p w14:paraId="5B547B0C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2分</w:t>
            </w:r>
          </w:p>
        </w:tc>
        <w:tc>
          <w:tcPr>
            <w:tcW w:w="1282" w:type="pct"/>
            <w:vAlign w:val="center"/>
          </w:tcPr>
          <w:p w14:paraId="53015439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按次扣分累加</w:t>
            </w:r>
          </w:p>
        </w:tc>
      </w:tr>
      <w:tr w14:paraId="71E85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2" w:hRule="atLeast"/>
          <w:jc w:val="center"/>
        </w:trPr>
        <w:tc>
          <w:tcPr>
            <w:tcW w:w="484" w:type="pct"/>
            <w:vAlign w:val="center"/>
          </w:tcPr>
          <w:p w14:paraId="7440B856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11</w:t>
            </w:r>
          </w:p>
        </w:tc>
        <w:tc>
          <w:tcPr>
            <w:tcW w:w="2459" w:type="pct"/>
            <w:gridSpan w:val="2"/>
            <w:vAlign w:val="center"/>
          </w:tcPr>
          <w:p w14:paraId="71ECAAF5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原材料非正常采购</w:t>
            </w:r>
          </w:p>
        </w:tc>
        <w:tc>
          <w:tcPr>
            <w:tcW w:w="775" w:type="pct"/>
            <w:vAlign w:val="center"/>
          </w:tcPr>
          <w:p w14:paraId="1F67729D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1.5分</w:t>
            </w:r>
          </w:p>
        </w:tc>
        <w:tc>
          <w:tcPr>
            <w:tcW w:w="1282" w:type="pct"/>
            <w:vAlign w:val="center"/>
          </w:tcPr>
          <w:p w14:paraId="5EA4C361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按次扣分累加</w:t>
            </w:r>
          </w:p>
        </w:tc>
      </w:tr>
      <w:tr w14:paraId="7FDD8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2" w:hRule="atLeast"/>
          <w:jc w:val="center"/>
        </w:trPr>
        <w:tc>
          <w:tcPr>
            <w:tcW w:w="484" w:type="pct"/>
            <w:vAlign w:val="center"/>
          </w:tcPr>
          <w:p w14:paraId="789DD9AE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12</w:t>
            </w:r>
          </w:p>
        </w:tc>
        <w:tc>
          <w:tcPr>
            <w:tcW w:w="2459" w:type="pct"/>
            <w:gridSpan w:val="2"/>
            <w:vAlign w:val="center"/>
          </w:tcPr>
          <w:p w14:paraId="5AB4DDC6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计划生产量与实际生产量不符</w:t>
            </w:r>
          </w:p>
          <w:p w14:paraId="67ACCE9E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（偏离量大于等于10个）</w:t>
            </w:r>
          </w:p>
        </w:tc>
        <w:tc>
          <w:tcPr>
            <w:tcW w:w="775" w:type="pct"/>
            <w:vAlign w:val="center"/>
          </w:tcPr>
          <w:p w14:paraId="6B7F6D7F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1分</w:t>
            </w:r>
          </w:p>
        </w:tc>
        <w:tc>
          <w:tcPr>
            <w:tcW w:w="1282" w:type="pct"/>
            <w:vAlign w:val="center"/>
          </w:tcPr>
          <w:p w14:paraId="129882C5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按次扣分累加</w:t>
            </w:r>
          </w:p>
        </w:tc>
      </w:tr>
      <w:tr w14:paraId="0E92D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7" w:hRule="atLeast"/>
          <w:jc w:val="center"/>
        </w:trPr>
        <w:tc>
          <w:tcPr>
            <w:tcW w:w="484" w:type="pct"/>
            <w:vAlign w:val="center"/>
          </w:tcPr>
          <w:p w14:paraId="7DF8BEFE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13</w:t>
            </w:r>
          </w:p>
        </w:tc>
        <w:tc>
          <w:tcPr>
            <w:tcW w:w="2459" w:type="pct"/>
            <w:gridSpan w:val="2"/>
            <w:vAlign w:val="center"/>
          </w:tcPr>
          <w:p w14:paraId="4AC41859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碳核查错误</w:t>
            </w:r>
          </w:p>
        </w:tc>
        <w:tc>
          <w:tcPr>
            <w:tcW w:w="775" w:type="pct"/>
            <w:vAlign w:val="center"/>
          </w:tcPr>
          <w:p w14:paraId="5FE6F4C2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0.5分</w:t>
            </w:r>
          </w:p>
        </w:tc>
        <w:tc>
          <w:tcPr>
            <w:tcW w:w="1282" w:type="pct"/>
            <w:vAlign w:val="center"/>
          </w:tcPr>
          <w:p w14:paraId="3A489BEE">
            <w:pPr>
              <w:tabs>
                <w:tab w:val="left" w:pos="1620"/>
              </w:tabs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按次扣分累加</w:t>
            </w:r>
          </w:p>
        </w:tc>
      </w:tr>
    </w:tbl>
    <w:p w14:paraId="155C02D3">
      <w:pPr>
        <w:spacing w:before="156" w:beforeLines="50"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5）碳绩效</w:t>
      </w:r>
    </w:p>
    <w:p w14:paraId="05E50A69">
      <w:pPr>
        <w:tabs>
          <w:tab w:val="left" w:pos="1620"/>
        </w:tabs>
        <w:spacing w:line="440" w:lineRule="exact"/>
        <w:ind w:firstLine="480" w:firstLineChars="200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碳绩效评分主要通过碳排放强度衡量，碳排放强度越高，碳绩效评分越低。碳排放强度以企业生产每千个产品的碳排放量为依据，生产每千个产品的碳排放量最小的企业碳绩效评分为满分。</w:t>
      </w:r>
    </w:p>
    <w:p w14:paraId="3ECD02A3">
      <w:pPr>
        <w:spacing w:before="156" w:beforeLines="50" w:after="156" w:afterLines="50" w:line="360" w:lineRule="auto"/>
        <w:rPr>
          <w:rFonts w:hint="eastAsia" w:ascii="宋体" w:hAnsi="宋体" w:eastAsia="宋体" w:cs="宋体"/>
          <w:kern w:val="0"/>
          <w:szCs w:val="21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宋体" w:cs="宋体"/>
              <w:kern w:val="0"/>
              <w:szCs w:val="21"/>
            </w:rPr>
            <m:t>碳绩效评分=</m:t>
          </m:r>
          <m:f>
            <m:fPr>
              <m:ctrlPr>
                <w:rPr>
                  <w:rFonts w:hint="eastAsia" w:ascii="Cambria Math" w:hAnsi="Cambria Math" w:eastAsia="宋体" w:cs="宋体"/>
                  <w:kern w:val="0"/>
                  <w:szCs w:val="21"/>
                </w:rPr>
              </m:ctrlPr>
            </m:fPr>
            <m:num>
              <m:r>
                <m:rPr>
                  <m:sty m:val="p"/>
                </m:rPr>
                <w:rPr>
                  <w:rFonts w:hint="eastAsia" w:ascii="Cambria Math" w:hAnsi="Cambria Math" w:eastAsia="宋体" w:cs="宋体"/>
                  <w:kern w:val="0"/>
                  <w:szCs w:val="21"/>
                </w:rPr>
                <m:t>第</m:t>
              </m:r>
              <m:r>
                <m:rPr/>
                <w:rPr>
                  <w:rFonts w:hint="eastAsia" w:ascii="Cambria Math" w:hAnsi="Cambria Math" w:eastAsia="宋体" w:cs="宋体"/>
                  <w:kern w:val="0"/>
                  <w:szCs w:val="21"/>
                </w:rPr>
                <m:t>n</m:t>
              </m:r>
              <m:r>
                <m:rPr>
                  <m:sty m:val="p"/>
                </m:rPr>
                <w:rPr>
                  <w:rFonts w:hint="eastAsia" w:ascii="Cambria Math" w:hAnsi="Cambria Math" w:eastAsia="宋体" w:cs="宋体"/>
                  <w:kern w:val="0"/>
                  <w:szCs w:val="21"/>
                </w:rPr>
                <m:t>季末生产每千个产品的碳排放量最小值</m:t>
              </m:r>
              <m:ctrlPr>
                <w:rPr>
                  <w:rFonts w:hint="eastAsia" w:ascii="Cambria Math" w:hAnsi="Cambria Math" w:eastAsia="宋体" w:cs="宋体"/>
                  <w:kern w:val="0"/>
                  <w:szCs w:val="21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宋体" w:cs="宋体"/>
                  <w:kern w:val="0"/>
                  <w:szCs w:val="21"/>
                </w:rPr>
                <m:t>该企业第</m:t>
              </m:r>
              <m:r>
                <m:rPr/>
                <w:rPr>
                  <w:rFonts w:hint="eastAsia" w:ascii="Cambria Math" w:hAnsi="Cambria Math" w:eastAsia="宋体" w:cs="宋体"/>
                  <w:kern w:val="0"/>
                  <w:szCs w:val="21"/>
                </w:rPr>
                <m:t>n</m:t>
              </m:r>
              <m:r>
                <m:rPr>
                  <m:sty m:val="p"/>
                </m:rPr>
                <w:rPr>
                  <w:rFonts w:hint="eastAsia" w:ascii="Cambria Math" w:hAnsi="Cambria Math" w:eastAsia="宋体" w:cs="宋体"/>
                  <w:kern w:val="0"/>
                  <w:szCs w:val="21"/>
                </w:rPr>
                <m:t>季末生产每千个产品的碳排放量</m:t>
              </m:r>
              <m:ctrlPr>
                <w:rPr>
                  <w:rFonts w:hint="eastAsia" w:ascii="Cambria Math" w:hAnsi="Cambria Math" w:eastAsia="宋体" w:cs="宋体"/>
                  <w:kern w:val="0"/>
                  <w:szCs w:val="21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宋体" w:cs="宋体"/>
              <w:kern w:val="0"/>
              <w:szCs w:val="21"/>
            </w:rPr>
            <m:t>×一级指标满分值</m:t>
          </m:r>
        </m:oMath>
      </m:oMathPara>
    </w:p>
    <w:p w14:paraId="59EAEC4C">
      <w:pPr>
        <w:tabs>
          <w:tab w:val="left" w:pos="1620"/>
        </w:tabs>
        <w:spacing w:line="440" w:lineRule="exact"/>
        <w:ind w:firstLine="480" w:firstLineChars="200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如果该企业第n季末生产每千个产品的碳排放量等于0,则碳绩效评分为0,且该企业不参与每千个产品碳排放量最小值统计。</w:t>
      </w:r>
    </w:p>
    <w:p w14:paraId="717B91A9">
      <w:pPr>
        <w:widowControl/>
        <w:ind w:left="561"/>
        <w:rPr>
          <w:rFonts w:hint="eastAsia" w:ascii="宋体" w:hAnsi="宋体" w:eastAsia="宋体" w:cs="宋体"/>
          <w:b/>
          <w:color w:val="1C1F23"/>
          <w:kern w:val="0"/>
          <w:sz w:val="24"/>
          <w:szCs w:val="24"/>
          <w:shd w:val="clear" w:color="auto" w:fill="FFFFFF"/>
        </w:rPr>
      </w:pPr>
    </w:p>
    <w:p w14:paraId="2C8FF19D">
      <w:pPr>
        <w:widowControl/>
        <w:rPr>
          <w:rFonts w:hint="eastAsia" w:ascii="黑体" w:hAnsi="黑体" w:eastAsia="黑体" w:cs="黑体"/>
          <w:b/>
          <w:color w:val="1C1F23"/>
          <w:kern w:val="0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b/>
          <w:color w:val="1C1F23"/>
          <w:kern w:val="0"/>
          <w:sz w:val="28"/>
          <w:szCs w:val="28"/>
          <w:shd w:val="clear" w:color="auto" w:fill="FFFFFF"/>
        </w:rPr>
        <w:t>6.竞赛分组</w:t>
      </w:r>
    </w:p>
    <w:p w14:paraId="2934D932">
      <w:pPr>
        <w:tabs>
          <w:tab w:val="left" w:pos="1620"/>
        </w:tabs>
        <w:spacing w:line="440" w:lineRule="exact"/>
        <w:rPr>
          <w:rFonts w:hint="eastAsia" w:ascii="宋体" w:hAnsi="宋体" w:eastAsia="宋体" w:cs="宋体"/>
          <w:b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（1）复赛：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根据报名队伍数量情况，</w:t>
      </w: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将所有参赛队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（分为本科组和高职组）</w:t>
      </w: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以抽签方式均分到若干组，每一组在同一环境下进行模拟操作，运营成绩由系统自动评判。抽签时采用同校回避原则，即来自同一所高校的参赛队伍尽可能不在同一个竞赛小组，组委会有权根据实际情况对分组抽签结果进行调整。</w:t>
      </w: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抽签将在比赛开始前完成，抽签过程不进行直播但将由大赛组委会派人监督并全程录像，抽签结果不提前公布。</w:t>
      </w:r>
    </w:p>
    <w:p w14:paraId="6B7D1FBD">
      <w:pPr>
        <w:tabs>
          <w:tab w:val="left" w:pos="1620"/>
        </w:tabs>
        <w:spacing w:line="440" w:lineRule="exact"/>
        <w:ind w:firstLine="480" w:firstLineChars="200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抽签顺序遵循以下原则：A.参赛队伍数量多的学校优先；B.数量相同学校，按照学校名称拼音字母英文排序；C.同一高校的队伍按照队长姓名拼音字母英文排序。</w:t>
      </w:r>
    </w:p>
    <w:p w14:paraId="3A3787ED">
      <w:pPr>
        <w:tabs>
          <w:tab w:val="left" w:pos="1620"/>
        </w:tabs>
        <w:spacing w:line="440" w:lineRule="exact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</w:rPr>
        <w:t>（2）决赛-淘汰赛：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参考复赛规则重新抽签分组。</w:t>
      </w:r>
    </w:p>
    <w:p w14:paraId="7F666915">
      <w:pPr>
        <w:tabs>
          <w:tab w:val="left" w:pos="1620"/>
        </w:tabs>
        <w:spacing w:line="44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（3）决赛-排名赛：</w:t>
      </w:r>
      <w:r>
        <w:rPr>
          <w:rFonts w:hint="eastAsia" w:ascii="宋体" w:hAnsi="宋体" w:eastAsia="宋体" w:cs="宋体"/>
          <w:sz w:val="24"/>
          <w:szCs w:val="24"/>
        </w:rPr>
        <w:t>根据各竞赛小组决赛-淘汰赛排名情况确定分组，具体晋级比例根据实际参赛队伍情况确定，并在参赛指南中另行通知。</w:t>
      </w:r>
    </w:p>
    <w:p w14:paraId="16DA509B">
      <w:pPr>
        <w:tabs>
          <w:tab w:val="left" w:pos="1620"/>
        </w:tabs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其他未尽事宜，另行通知。</w:t>
      </w:r>
    </w:p>
    <w:p w14:paraId="5052F518">
      <w:pPr>
        <w:tabs>
          <w:tab w:val="left" w:pos="1620"/>
        </w:tabs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199168B2"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附件一：复赛阶段参赛队伍所在竞赛场地要求</w:t>
      </w:r>
    </w:p>
    <w:p w14:paraId="7A6A395F"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附件二：复赛阶段参赛队伍注意事项</w:t>
      </w:r>
    </w:p>
    <w:p w14:paraId="5827E101"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附件三：复赛阶段参赛须知</w:t>
      </w:r>
    </w:p>
    <w:p w14:paraId="0CEFC7FF">
      <w:pPr>
        <w:widowControl/>
        <w:rPr>
          <w:rFonts w:hint="eastAsia" w:ascii="仿宋" w:hAnsi="仿宋" w:eastAsia="仿宋" w:cs="仿宋"/>
          <w:b/>
          <w:color w:val="1C1F23"/>
          <w:kern w:val="0"/>
          <w:sz w:val="28"/>
          <w:szCs w:val="28"/>
          <w:shd w:val="clear" w:color="auto" w:fill="FFFFFF"/>
        </w:rPr>
      </w:pPr>
    </w:p>
    <w:p w14:paraId="25E0207C">
      <w:pPr>
        <w:widowControl/>
        <w:jc w:val="left"/>
        <w:rPr>
          <w:rFonts w:hint="eastAsia" w:ascii="仿宋" w:hAnsi="仿宋" w:eastAsia="仿宋" w:cs="仿宋"/>
          <w:b/>
          <w:color w:val="1C1F23"/>
          <w:kern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b/>
          <w:color w:val="1C1F23"/>
          <w:kern w:val="0"/>
          <w:sz w:val="24"/>
          <w:szCs w:val="24"/>
          <w:shd w:val="clear" w:color="auto" w:fill="FFFFFF"/>
        </w:rPr>
        <w:br w:type="page"/>
      </w:r>
    </w:p>
    <w:p w14:paraId="65D832F0">
      <w:pPr>
        <w:widowControl/>
        <w:rPr>
          <w:rFonts w:hint="eastAsia" w:ascii="宋体" w:hAnsi="宋体" w:eastAsia="宋体" w:cs="宋体"/>
          <w:b/>
          <w:color w:val="1C1F23"/>
          <w:kern w:val="0"/>
          <w:sz w:val="24"/>
          <w:szCs w:val="24"/>
          <w:shd w:val="clear" w:color="auto" w:fill="FFFFFF"/>
        </w:rPr>
      </w:pPr>
      <w:bookmarkStart w:id="0" w:name="_GoBack"/>
      <w:r>
        <w:rPr>
          <w:rFonts w:hint="eastAsia" w:ascii="宋体" w:hAnsi="宋体" w:eastAsia="宋体" w:cs="宋体"/>
          <w:b/>
          <w:color w:val="1C1F23"/>
          <w:kern w:val="0"/>
          <w:sz w:val="24"/>
          <w:szCs w:val="24"/>
          <w:shd w:val="clear" w:color="auto" w:fill="FFFFFF"/>
        </w:rPr>
        <w:t>附件一：复赛阶段参赛队伍所在竞赛场地要求</w:t>
      </w:r>
    </w:p>
    <w:p w14:paraId="32270EF5">
      <w:pPr>
        <w:adjustRightInd w:val="0"/>
        <w:snapToGrid w:val="0"/>
        <w:spacing w:line="440" w:lineRule="exac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为保证线上竞赛的公平、客观，</w:t>
      </w:r>
      <w:r>
        <w:rPr>
          <w:rFonts w:hint="eastAsia" w:ascii="宋体" w:hAnsi="宋体" w:eastAsia="宋体" w:cs="宋体"/>
          <w:sz w:val="24"/>
        </w:rPr>
        <w:t>竞赛过程中，参赛队伍不得以任何方式与外界沟通，一经发现取消其参赛及评奖资格。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所有竞赛使用笔记本电脑或台式机需提前安装录屏软件，对竞赛中操作全过程进行录屏，视频、电脑音频、环境音频需全部录制，并且要求所有参赛队伍按以下标准布置赛场：每一个竞赛场地应为独立空间，场地内只允许有参赛队员。每支参赛队伍后面架设摄像头（可使用带摄像头的智能手机或使用笔记本电脑连接外置摄像头），并保证该设备能够登录腾讯会议，在比赛过程中保持视频全程实时在线状态。摄像头从参赛团队后方成45°放置（位置要高于头部），使用后置摄像头，保证参赛队伍全部成员进入画面中，并且队员双手和计算机屏幕能清晰拍摄，同时，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现场由本校安排工作人员对比赛现场进行监督，</w:t>
      </w:r>
      <w:r>
        <w:rPr>
          <w:rFonts w:hint="eastAsia" w:ascii="宋体" w:hAnsi="宋体" w:eastAsia="宋体" w:cs="宋体"/>
          <w:b/>
          <w:bCs/>
          <w:sz w:val="24"/>
        </w:rPr>
        <w:t>工作人员需检查拍摄画面是否符合要求。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拍摄过程中，需关闭腾讯会议中麦克风，并开启该设备的音频，确保能够接收到竞赛过程中相关通知。拍摄效果如图所示：</w:t>
      </w:r>
    </w:p>
    <w:p w14:paraId="5F3B47F7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475865" cy="1348740"/>
            <wp:effectExtent l="0" t="0" r="635" b="3810"/>
            <wp:docPr id="130487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785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2748" cy="136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379980" cy="1346200"/>
            <wp:effectExtent l="0" t="0" r="1270" b="6350"/>
            <wp:docPr id="5998736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873634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8637" cy="137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6D74A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参赛队伍需提前准备好相关设备，并提前进行测试，保障网络和硬件设备能够顺利进行竞赛。竞赛期间如出现下列情况，每出现一次，记一次违规。违规两次以上将取消比赛成绩：</w:t>
      </w:r>
    </w:p>
    <w:p w14:paraId="6D1DF0AC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1）视频中出现非参赛人员，包括现场工作人员；</w:t>
      </w:r>
    </w:p>
    <w:p w14:paraId="30A6D891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2）参赛人员未经允许随意离开摄像镜头；</w:t>
      </w:r>
    </w:p>
    <w:p w14:paraId="0BCF1210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3）因意外情况脱离监控画面超过5分钟。</w:t>
      </w:r>
    </w:p>
    <w:p w14:paraId="21F4AC0F">
      <w:pPr>
        <w:adjustRightInd w:val="0"/>
        <w:snapToGrid w:val="0"/>
        <w:spacing w:line="44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所有影音资料由参赛队员自行保留。若有团队提出质疑时，被质疑团队成员无法第一时间提供全部资料，组委会有权取消其参赛成绩并追究其责任。质疑有效期：竞赛结束后两小时内有效，由指导教师统一反馈至组委会。如举报不实，视为无效。未经核实的信息不得在微博、QQ群、微信群、抖音、小红书等网络媒介传播。</w:t>
      </w:r>
    </w:p>
    <w:p w14:paraId="4279706C">
      <w:pPr>
        <w:adjustRightInd w:val="0"/>
        <w:snapToGrid w:val="0"/>
        <w:spacing w:line="44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3372F88E">
      <w:pPr>
        <w:widowControl/>
        <w:jc w:val="left"/>
        <w:rPr>
          <w:rFonts w:hint="eastAsia" w:ascii="宋体" w:hAnsi="宋体" w:eastAsia="宋体" w:cs="宋体"/>
          <w:b/>
          <w:color w:val="1C1F23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color w:val="1C1F23"/>
          <w:kern w:val="0"/>
          <w:sz w:val="24"/>
          <w:szCs w:val="24"/>
          <w:shd w:val="clear" w:color="auto" w:fill="FFFFFF"/>
        </w:rPr>
        <w:br w:type="page"/>
      </w:r>
    </w:p>
    <w:p w14:paraId="47DAC92F">
      <w:pPr>
        <w:widowControl/>
        <w:rPr>
          <w:rFonts w:hint="eastAsia" w:ascii="宋体" w:hAnsi="宋体" w:eastAsia="宋体" w:cs="宋体"/>
          <w:b/>
          <w:color w:val="1C1F23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color w:val="1C1F23"/>
          <w:kern w:val="0"/>
          <w:sz w:val="24"/>
          <w:szCs w:val="24"/>
          <w:shd w:val="clear" w:color="auto" w:fill="FFFFFF"/>
        </w:rPr>
        <w:t>附件二：复赛阶段参赛队伍注意事项</w:t>
      </w:r>
    </w:p>
    <w:p w14:paraId="2F64E3C5">
      <w:pPr>
        <w:adjustRightInd w:val="0"/>
        <w:snapToGrid w:val="0"/>
        <w:spacing w:line="44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1.参赛队员应认真学习领会本次竞赛相关文件，自觉遵守大赛纪律，服从指挥，听从安排，文明参赛。</w:t>
      </w:r>
    </w:p>
    <w:p w14:paraId="4C82D249">
      <w:pPr>
        <w:adjustRightInd w:val="0"/>
        <w:snapToGrid w:val="0"/>
        <w:spacing w:line="44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2.参赛队员应在规定时间内进入腾讯会议，并主动配合身份审核，需提前准备好学生证、身份证等相关证件，不符要求者不允许参加竞赛，不得迟到早退。</w:t>
      </w:r>
    </w:p>
    <w:p w14:paraId="51CA0C91">
      <w:pPr>
        <w:adjustRightInd w:val="0"/>
        <w:snapToGrid w:val="0"/>
        <w:spacing w:line="44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3.参赛队须在规定时间内提交决策，未在规定时间内提交决策，将被移出竞赛。比赛时间以系统提示时间为准。筹建阶段：15分钟、第1-8季度：每个季度 30分钟。</w:t>
      </w:r>
    </w:p>
    <w:p w14:paraId="4F50EC8B">
      <w:pPr>
        <w:adjustRightInd w:val="0"/>
        <w:snapToGrid w:val="0"/>
        <w:spacing w:line="44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4.未完成筹建阶段决策的队伍视为弃赛，不能参与成绩评定。</w:t>
      </w:r>
    </w:p>
    <w:p w14:paraId="6E8F707A">
      <w:pPr>
        <w:adjustRightInd w:val="0"/>
        <w:snapToGrid w:val="0"/>
        <w:spacing w:line="44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5.竞赛成绩在各组内进行排名，破产企业按照破产季度、净现值排名(后破产企业排名靠前，在同一季度破产按照净现值排名)，如净现值一致，按资产负债率排名(资产负债率低排名靠前)。</w:t>
      </w:r>
    </w:p>
    <w:p w14:paraId="0FDAEC50">
      <w:pPr>
        <w:adjustRightInd w:val="0"/>
        <w:snapToGrid w:val="0"/>
        <w:spacing w:line="44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6.竞赛过程中禁止使用手机、平板等通讯设备，不允许使用制作好的EXCEL等辅助计算工具，一经发现取消该团队参赛成绩。可以使用无通讯功能的计算器。</w:t>
      </w:r>
    </w:p>
    <w:p w14:paraId="5CA8736E">
      <w:pPr>
        <w:adjustRightInd w:val="0"/>
        <w:snapToGrid w:val="0"/>
        <w:spacing w:line="44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7.由于参赛团队出现网络延迟、网络不畅等原因导致比赛中断或退出比赛,组委会不承担责任。</w:t>
      </w:r>
    </w:p>
    <w:p w14:paraId="45612FE8">
      <w:pPr>
        <w:adjustRightInd w:val="0"/>
        <w:snapToGrid w:val="0"/>
        <w:spacing w:line="44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8.建议计算机操作系统为64位Win7操作系统及以上，浏览器采用谷歌浏览器，计算机系统分辨率介于1366*768与1920*1080之间，不允许使用1440*900的分辨率。</w:t>
      </w:r>
    </w:p>
    <w:p w14:paraId="3C77B52B">
      <w:pPr>
        <w:adjustRightInd w:val="0"/>
        <w:snapToGrid w:val="0"/>
        <w:spacing w:line="440" w:lineRule="exact"/>
        <w:ind w:firstLine="480" w:firstLineChars="200"/>
        <w:rPr>
          <w:rFonts w:hint="eastAsia" w:ascii="宋体" w:hAnsi="宋体" w:eastAsia="宋体" w:cs="宋体"/>
          <w:color w:val="1C1F23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C1F23"/>
          <w:kern w:val="0"/>
          <w:sz w:val="24"/>
          <w:szCs w:val="24"/>
          <w:shd w:val="clear" w:color="auto" w:fill="FFFFFF"/>
        </w:rPr>
        <w:t>9.参赛过程中无特殊情况不得更换设备（特殊情况可</w:t>
      </w:r>
      <w:r>
        <w:rPr>
          <w:rFonts w:hint="eastAsia" w:ascii="宋体" w:hAnsi="宋体" w:eastAsia="宋体" w:cs="宋体"/>
          <w:sz w:val="24"/>
          <w:szCs w:val="24"/>
        </w:rPr>
        <w:t>由现场工作人员向控赛老师</w:t>
      </w:r>
      <w:r>
        <w:rPr>
          <w:rFonts w:hint="eastAsia" w:ascii="宋体" w:hAnsi="宋体" w:eastAsia="宋体" w:cs="宋体"/>
          <w:color w:val="1C1F23"/>
          <w:kern w:val="0"/>
          <w:sz w:val="24"/>
          <w:szCs w:val="24"/>
          <w:shd w:val="clear" w:color="auto" w:fill="FFFFFF"/>
        </w:rPr>
        <w:t>提出申请），若因故障导致重启或者更换其他设备，需重新开启录制软件后再进入竞赛系统。</w:t>
      </w:r>
    </w:p>
    <w:p w14:paraId="576DFCF3">
      <w:pPr>
        <w:adjustRightInd w:val="0"/>
        <w:snapToGrid w:val="0"/>
        <w:spacing w:line="440" w:lineRule="exact"/>
        <w:ind w:firstLine="480" w:firstLineChars="200"/>
        <w:rPr>
          <w:rFonts w:hint="eastAsia" w:ascii="宋体" w:hAnsi="宋体" w:eastAsia="宋体" w:cs="宋体"/>
          <w:color w:val="1C1F23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1C1F23"/>
          <w:kern w:val="0"/>
          <w:sz w:val="24"/>
          <w:szCs w:val="24"/>
          <w:shd w:val="clear" w:color="auto" w:fill="FFFFFF"/>
        </w:rPr>
        <w:t>10.参赛队员不得随意离开赛场，如确实需要离开，应向现场工作人员进行申请，得到允许后方可离开，每次离开时间不超过10分钟。</w:t>
      </w:r>
    </w:p>
    <w:p w14:paraId="318DD750">
      <w:pPr>
        <w:adjustRightInd w:val="0"/>
        <w:snapToGrid w:val="0"/>
        <w:spacing w:line="44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11.大赛组委会有权对竞赛过程中的突发情况进行紧急处理。</w:t>
      </w:r>
    </w:p>
    <w:p w14:paraId="2989D428">
      <w:pPr>
        <w:widowControl/>
        <w:jc w:val="left"/>
        <w:rPr>
          <w:rFonts w:hint="eastAsia" w:ascii="宋体" w:hAnsi="宋体" w:eastAsia="宋体" w:cs="宋体"/>
          <w:b/>
          <w:color w:val="1C1F23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color w:val="1C1F23"/>
          <w:kern w:val="0"/>
          <w:sz w:val="28"/>
          <w:szCs w:val="28"/>
          <w:shd w:val="clear" w:color="auto" w:fill="FFFFFF"/>
        </w:rPr>
        <w:br w:type="page"/>
      </w:r>
    </w:p>
    <w:p w14:paraId="279CCFEF">
      <w:pPr>
        <w:widowControl/>
        <w:rPr>
          <w:rFonts w:hint="eastAsia" w:ascii="宋体" w:hAnsi="宋体" w:eastAsia="宋体" w:cs="宋体"/>
          <w:b/>
          <w:color w:val="1C1F23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color w:val="1C1F23"/>
          <w:kern w:val="0"/>
          <w:sz w:val="24"/>
          <w:szCs w:val="24"/>
          <w:shd w:val="clear" w:color="auto" w:fill="FFFFFF"/>
        </w:rPr>
        <w:t>附件三：复赛阶段参赛须知</w:t>
      </w:r>
    </w:p>
    <w:p w14:paraId="45E1CFA7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一、竞赛平台网址</w:t>
      </w:r>
    </w:p>
    <w:p w14:paraId="02E80C9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使用谷歌浏览器登陆企业运营赛项官网（http://qyyyfz.com），在界面下方“各省动态”中找到“浙江”点击进入竞赛平台。 </w:t>
      </w:r>
    </w:p>
    <w:p w14:paraId="1B38BFCD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二、公司和账号</w:t>
      </w:r>
    </w:p>
    <w:p w14:paraId="6B22CA0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所有参赛团队成员的账号、竞赛使用公司由组委会统一创建。账号为报名时填写手机号，密码111111，竞赛使用公司在队长账号下。</w:t>
      </w:r>
    </w:p>
    <w:p w14:paraId="30AC717D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三、角色分配</w:t>
      </w:r>
    </w:p>
    <w:p w14:paraId="628A9C4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各参赛团队可自行决定是否进行角色分配，若分配角色必须分配给本队参加比赛成员，不得将角色分配给非本团队成员或未到场的本团队成员，一经发现取消该团队参赛资格。</w:t>
      </w:r>
    </w:p>
    <w:p w14:paraId="7A994D44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四、竞赛现场</w:t>
      </w:r>
    </w:p>
    <w:p w14:paraId="663619D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1.各参赛院校需将现场工作人员姓名和手机号上报给省赛组委会，便于竞赛过程中联络，现场工作人员数量由各参赛院校自行决定；</w:t>
      </w:r>
    </w:p>
    <w:p w14:paraId="448B56B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2.参赛队员应提前准备好学生证、身份证等相关证件，比赛过程中将采用抽查方式，对参赛队员身份进行核验；</w:t>
      </w:r>
    </w:p>
    <w:p w14:paraId="308A174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3.现场工作人员需对到场参赛队员进行签到，签到完成后（可在竞赛结束后）将签到表扫描发送给省赛组委会，签到表格式自拟；</w:t>
      </w:r>
    </w:p>
    <w:p w14:paraId="3CACABA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4.要求每支参赛队伍的所有成员在一起参加竞赛，若有队员无法参赛，也应提前进行报备，在比赛过程中该队员全程不得参与竞赛，若发现有中途参赛情况，按违纪处理，取消该队参赛资格；</w:t>
      </w:r>
    </w:p>
    <w:p w14:paraId="4741245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比赛过程中，现场工作人员不允许出现在学生的监控画面中（特殊情况除外，如进行签到、协助参赛团队解决设备故障等），但应在比赛现场对比赛进行监督，现场工作人员应认真履行监考职责，确保比赛公平公正。若发现有作弊行为，取消该校所有参赛队伍资格，并不退还报名费；</w:t>
      </w:r>
    </w:p>
    <w:p w14:paraId="291C0A2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6.参赛队员若需要离开赛场（如：去洗手间、接水等），向现场工作人员申请即可；若有技术问题需要咨询，向现场工作人员反馈，由现场工作人员与省赛组委会技术支持进行联系。</w:t>
      </w:r>
    </w:p>
    <w:p w14:paraId="33BF41C1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五、其他要求</w:t>
      </w:r>
    </w:p>
    <w:p w14:paraId="4B4A680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1.腾讯会议码将在竞赛开始前30分钟公布，参赛队员应在竞赛开始前进入腾讯会议并进行相关设备调试，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竞赛开始前仅允许登录网址、登录账号、查找公司、调试设备</w:t>
      </w:r>
      <w:r>
        <w:rPr>
          <w:rFonts w:hint="eastAsia" w:ascii="宋体" w:hAnsi="宋体" w:eastAsia="宋体" w:cs="宋体"/>
          <w:sz w:val="24"/>
          <w:szCs w:val="24"/>
        </w:rPr>
        <w:t>。竞赛开始后，开启录屏软件，方可进行其他操作（如：角色分配、表格制作等）；</w:t>
      </w:r>
    </w:p>
    <w:p w14:paraId="0086738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2.若所有参赛团队在同一间教室，各团队应分散落座，不得相互进行交流，且每支队伍要单独架设后置监控设备；</w:t>
      </w:r>
    </w:p>
    <w:p w14:paraId="410A830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3.竞赛过程中，全程禁止使用QQ、微信、钉钉等对外交流工具，一经发现取消该团队参赛资格。</w:t>
      </w:r>
    </w:p>
    <w:p w14:paraId="4B511828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4.竞赛过程中禁止使用手机、平板等通讯设备，不允许用平板或手机代替电脑操作，不允许使用提前制作好的EXCEL等辅助计算工具，一经发现取消该团队参赛资格，可以携带空白演草纸和无通讯功能的计算器。</w:t>
      </w:r>
    </w:p>
    <w:p w14:paraId="0118847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5.未完成筹建阶段决策的队伍视为弃赛，不能参与成绩评定。</w:t>
      </w:r>
    </w:p>
    <w:p w14:paraId="249E52C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6.由于参赛团队出现网络延迟、网络不畅等原因导致比赛中断或退出比赛,组委会不承担责任。</w:t>
      </w:r>
    </w:p>
    <w:p w14:paraId="7163451B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.可以准备备用设备，但参赛过程中无特殊情况不得更换设备（特殊情况可由现场工作人员向控赛老师提出申请），若因故障导致重启或者更换其他设备，需重新开启录制软件后再进入竞赛系统，由于更换设备导致时间延误，根据实际情况决定是否进行延时处理。</w:t>
      </w:r>
    </w:p>
    <w:bookmarkEnd w:id="0"/>
    <w:sectPr>
      <w:footerReference r:id="rId3" w:type="default"/>
      <w:pgSz w:w="11906" w:h="16838"/>
      <w:pgMar w:top="1440" w:right="1701" w:bottom="1440" w:left="170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33287092"/>
    </w:sdtPr>
    <w:sdtContent>
      <w:p w14:paraId="321C8D95">
        <w:pPr>
          <w:pStyle w:val="10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21</w:t>
        </w:r>
        <w:r>
          <w:fldChar w:fldCharType="end"/>
        </w:r>
      </w:p>
    </w:sdtContent>
  </w:sdt>
  <w:p w14:paraId="0C706DB7">
    <w:pPr>
      <w:pStyle w:val="10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yNmQ3MThhOGVmODhlZmY1YTYxMGRjMzFkMTNkZDMifQ=="/>
  </w:docVars>
  <w:rsids>
    <w:rsidRoot w:val="0068441C"/>
    <w:rsid w:val="00025DFB"/>
    <w:rsid w:val="00033591"/>
    <w:rsid w:val="000336B2"/>
    <w:rsid w:val="00033EA2"/>
    <w:rsid w:val="0004646E"/>
    <w:rsid w:val="00057C35"/>
    <w:rsid w:val="0006302A"/>
    <w:rsid w:val="0007262E"/>
    <w:rsid w:val="00085B4B"/>
    <w:rsid w:val="000927C1"/>
    <w:rsid w:val="000C0201"/>
    <w:rsid w:val="000C76B4"/>
    <w:rsid w:val="000D36E5"/>
    <w:rsid w:val="000D7FD4"/>
    <w:rsid w:val="000E4AE3"/>
    <w:rsid w:val="0010178C"/>
    <w:rsid w:val="00102552"/>
    <w:rsid w:val="001371C6"/>
    <w:rsid w:val="00137302"/>
    <w:rsid w:val="00145FF7"/>
    <w:rsid w:val="00146040"/>
    <w:rsid w:val="00146758"/>
    <w:rsid w:val="00154882"/>
    <w:rsid w:val="00157830"/>
    <w:rsid w:val="00162F5F"/>
    <w:rsid w:val="001652A6"/>
    <w:rsid w:val="00172486"/>
    <w:rsid w:val="00193CEA"/>
    <w:rsid w:val="001A1EEF"/>
    <w:rsid w:val="001A2FE4"/>
    <w:rsid w:val="001A3A3F"/>
    <w:rsid w:val="001A6BE2"/>
    <w:rsid w:val="001B2012"/>
    <w:rsid w:val="001B711A"/>
    <w:rsid w:val="001C48F5"/>
    <w:rsid w:val="001C7388"/>
    <w:rsid w:val="001D19F8"/>
    <w:rsid w:val="001D5EBA"/>
    <w:rsid w:val="001E35DB"/>
    <w:rsid w:val="001F6C8E"/>
    <w:rsid w:val="002036B8"/>
    <w:rsid w:val="0020598E"/>
    <w:rsid w:val="002127A3"/>
    <w:rsid w:val="00216A04"/>
    <w:rsid w:val="00224C89"/>
    <w:rsid w:val="00231AEA"/>
    <w:rsid w:val="00241CBB"/>
    <w:rsid w:val="002467AA"/>
    <w:rsid w:val="00290B03"/>
    <w:rsid w:val="00296970"/>
    <w:rsid w:val="00297592"/>
    <w:rsid w:val="002A15C9"/>
    <w:rsid w:val="002C16A1"/>
    <w:rsid w:val="002D06FB"/>
    <w:rsid w:val="002F6E18"/>
    <w:rsid w:val="003317A8"/>
    <w:rsid w:val="00331880"/>
    <w:rsid w:val="00361479"/>
    <w:rsid w:val="0036187F"/>
    <w:rsid w:val="00365823"/>
    <w:rsid w:val="003674ED"/>
    <w:rsid w:val="003770DC"/>
    <w:rsid w:val="003B5997"/>
    <w:rsid w:val="003B699C"/>
    <w:rsid w:val="003C1314"/>
    <w:rsid w:val="003C43A4"/>
    <w:rsid w:val="003D13BF"/>
    <w:rsid w:val="003D1BF3"/>
    <w:rsid w:val="003D21F1"/>
    <w:rsid w:val="003D22E4"/>
    <w:rsid w:val="003D2CE5"/>
    <w:rsid w:val="003D5490"/>
    <w:rsid w:val="003E2516"/>
    <w:rsid w:val="003F2F64"/>
    <w:rsid w:val="003F40E4"/>
    <w:rsid w:val="003F7167"/>
    <w:rsid w:val="004007A3"/>
    <w:rsid w:val="00401AD0"/>
    <w:rsid w:val="004031B6"/>
    <w:rsid w:val="00427D8F"/>
    <w:rsid w:val="00443E31"/>
    <w:rsid w:val="00444D00"/>
    <w:rsid w:val="00446715"/>
    <w:rsid w:val="00450DF2"/>
    <w:rsid w:val="00462F4C"/>
    <w:rsid w:val="004635E5"/>
    <w:rsid w:val="0046626F"/>
    <w:rsid w:val="00470201"/>
    <w:rsid w:val="00472B11"/>
    <w:rsid w:val="0047524A"/>
    <w:rsid w:val="00492141"/>
    <w:rsid w:val="0049276B"/>
    <w:rsid w:val="004962A4"/>
    <w:rsid w:val="004A16DE"/>
    <w:rsid w:val="004F0574"/>
    <w:rsid w:val="004F0B3E"/>
    <w:rsid w:val="00514CA2"/>
    <w:rsid w:val="00517DFE"/>
    <w:rsid w:val="00530537"/>
    <w:rsid w:val="00540DDF"/>
    <w:rsid w:val="00560E08"/>
    <w:rsid w:val="005729C1"/>
    <w:rsid w:val="00575B59"/>
    <w:rsid w:val="00595F9B"/>
    <w:rsid w:val="00596443"/>
    <w:rsid w:val="00596A68"/>
    <w:rsid w:val="005A3E29"/>
    <w:rsid w:val="005B321C"/>
    <w:rsid w:val="005C3833"/>
    <w:rsid w:val="005D37A2"/>
    <w:rsid w:val="005E4A6B"/>
    <w:rsid w:val="005F59E3"/>
    <w:rsid w:val="005F7259"/>
    <w:rsid w:val="0060052C"/>
    <w:rsid w:val="00622833"/>
    <w:rsid w:val="0062535A"/>
    <w:rsid w:val="00626B4E"/>
    <w:rsid w:val="0064046D"/>
    <w:rsid w:val="0064721B"/>
    <w:rsid w:val="006563E4"/>
    <w:rsid w:val="006645AB"/>
    <w:rsid w:val="006821B0"/>
    <w:rsid w:val="0068303A"/>
    <w:rsid w:val="0068441C"/>
    <w:rsid w:val="006878AC"/>
    <w:rsid w:val="00687A37"/>
    <w:rsid w:val="00695B5E"/>
    <w:rsid w:val="006C0292"/>
    <w:rsid w:val="006C48FE"/>
    <w:rsid w:val="006C6C75"/>
    <w:rsid w:val="006C6C91"/>
    <w:rsid w:val="006D4175"/>
    <w:rsid w:val="006F39EB"/>
    <w:rsid w:val="007009BC"/>
    <w:rsid w:val="00710EAF"/>
    <w:rsid w:val="00713EFC"/>
    <w:rsid w:val="0072698D"/>
    <w:rsid w:val="007312BE"/>
    <w:rsid w:val="00740176"/>
    <w:rsid w:val="00752B57"/>
    <w:rsid w:val="00761A7E"/>
    <w:rsid w:val="007705CD"/>
    <w:rsid w:val="007715BB"/>
    <w:rsid w:val="007755AE"/>
    <w:rsid w:val="00793815"/>
    <w:rsid w:val="007A1031"/>
    <w:rsid w:val="007B2FD4"/>
    <w:rsid w:val="007B656D"/>
    <w:rsid w:val="007B78B8"/>
    <w:rsid w:val="007C2F5A"/>
    <w:rsid w:val="007C7283"/>
    <w:rsid w:val="007D2D36"/>
    <w:rsid w:val="007E536C"/>
    <w:rsid w:val="007F0212"/>
    <w:rsid w:val="007F6F3B"/>
    <w:rsid w:val="008043EF"/>
    <w:rsid w:val="00807DB4"/>
    <w:rsid w:val="00813C4D"/>
    <w:rsid w:val="0081493D"/>
    <w:rsid w:val="00821331"/>
    <w:rsid w:val="00841552"/>
    <w:rsid w:val="008572FD"/>
    <w:rsid w:val="008657F1"/>
    <w:rsid w:val="0087092F"/>
    <w:rsid w:val="008865C3"/>
    <w:rsid w:val="00893D54"/>
    <w:rsid w:val="008964FE"/>
    <w:rsid w:val="008A4E2D"/>
    <w:rsid w:val="008B008A"/>
    <w:rsid w:val="008B0F81"/>
    <w:rsid w:val="008B14B8"/>
    <w:rsid w:val="008C5022"/>
    <w:rsid w:val="008D5E9A"/>
    <w:rsid w:val="008D7FAE"/>
    <w:rsid w:val="008E3555"/>
    <w:rsid w:val="008F1DBD"/>
    <w:rsid w:val="008F3015"/>
    <w:rsid w:val="009045F1"/>
    <w:rsid w:val="00904F21"/>
    <w:rsid w:val="00916D05"/>
    <w:rsid w:val="00920DF1"/>
    <w:rsid w:val="00971425"/>
    <w:rsid w:val="0098051C"/>
    <w:rsid w:val="00992490"/>
    <w:rsid w:val="00992D0A"/>
    <w:rsid w:val="00995CA8"/>
    <w:rsid w:val="009A3732"/>
    <w:rsid w:val="009B192C"/>
    <w:rsid w:val="009B2EBD"/>
    <w:rsid w:val="009C1001"/>
    <w:rsid w:val="009C198D"/>
    <w:rsid w:val="009C7BE5"/>
    <w:rsid w:val="009C7FED"/>
    <w:rsid w:val="009E0AFC"/>
    <w:rsid w:val="009E5451"/>
    <w:rsid w:val="009E627A"/>
    <w:rsid w:val="009F14C8"/>
    <w:rsid w:val="009F3E1F"/>
    <w:rsid w:val="00A01212"/>
    <w:rsid w:val="00A13319"/>
    <w:rsid w:val="00A5308B"/>
    <w:rsid w:val="00A61833"/>
    <w:rsid w:val="00A6736E"/>
    <w:rsid w:val="00A708AF"/>
    <w:rsid w:val="00A74D38"/>
    <w:rsid w:val="00A751D4"/>
    <w:rsid w:val="00A75682"/>
    <w:rsid w:val="00A76F10"/>
    <w:rsid w:val="00A92FD2"/>
    <w:rsid w:val="00A9454A"/>
    <w:rsid w:val="00AA5086"/>
    <w:rsid w:val="00AA509D"/>
    <w:rsid w:val="00AC0BDB"/>
    <w:rsid w:val="00AD1A7A"/>
    <w:rsid w:val="00AD6026"/>
    <w:rsid w:val="00AE77D5"/>
    <w:rsid w:val="00B04961"/>
    <w:rsid w:val="00B1170F"/>
    <w:rsid w:val="00B13C2C"/>
    <w:rsid w:val="00B1615D"/>
    <w:rsid w:val="00B22729"/>
    <w:rsid w:val="00B23D30"/>
    <w:rsid w:val="00B3184F"/>
    <w:rsid w:val="00B361FF"/>
    <w:rsid w:val="00B47CC4"/>
    <w:rsid w:val="00B540D7"/>
    <w:rsid w:val="00B55FFB"/>
    <w:rsid w:val="00B6090B"/>
    <w:rsid w:val="00B622AF"/>
    <w:rsid w:val="00B7313E"/>
    <w:rsid w:val="00B75727"/>
    <w:rsid w:val="00B77A12"/>
    <w:rsid w:val="00B81A07"/>
    <w:rsid w:val="00B8417A"/>
    <w:rsid w:val="00B94C45"/>
    <w:rsid w:val="00BA566A"/>
    <w:rsid w:val="00BB7CAE"/>
    <w:rsid w:val="00BC6CAE"/>
    <w:rsid w:val="00BD393F"/>
    <w:rsid w:val="00C104CF"/>
    <w:rsid w:val="00C10E73"/>
    <w:rsid w:val="00C24EF4"/>
    <w:rsid w:val="00C33327"/>
    <w:rsid w:val="00C42922"/>
    <w:rsid w:val="00C42E78"/>
    <w:rsid w:val="00C438F9"/>
    <w:rsid w:val="00C540A8"/>
    <w:rsid w:val="00C545A1"/>
    <w:rsid w:val="00C65499"/>
    <w:rsid w:val="00C76925"/>
    <w:rsid w:val="00C90DA2"/>
    <w:rsid w:val="00CA2167"/>
    <w:rsid w:val="00CC3986"/>
    <w:rsid w:val="00CD6285"/>
    <w:rsid w:val="00CE16BD"/>
    <w:rsid w:val="00CE388B"/>
    <w:rsid w:val="00CF0D71"/>
    <w:rsid w:val="00D04E12"/>
    <w:rsid w:val="00D209AB"/>
    <w:rsid w:val="00D257FB"/>
    <w:rsid w:val="00D26B49"/>
    <w:rsid w:val="00D30291"/>
    <w:rsid w:val="00D7383D"/>
    <w:rsid w:val="00D73D22"/>
    <w:rsid w:val="00D807EC"/>
    <w:rsid w:val="00D80B16"/>
    <w:rsid w:val="00D90E36"/>
    <w:rsid w:val="00DA4BFA"/>
    <w:rsid w:val="00DD01C1"/>
    <w:rsid w:val="00DD6AF2"/>
    <w:rsid w:val="00DE4BF8"/>
    <w:rsid w:val="00DF0CB6"/>
    <w:rsid w:val="00DF6203"/>
    <w:rsid w:val="00E027F5"/>
    <w:rsid w:val="00E04B25"/>
    <w:rsid w:val="00E0795A"/>
    <w:rsid w:val="00E15A31"/>
    <w:rsid w:val="00E16B24"/>
    <w:rsid w:val="00E17125"/>
    <w:rsid w:val="00E336A6"/>
    <w:rsid w:val="00E453EB"/>
    <w:rsid w:val="00E51C6C"/>
    <w:rsid w:val="00E55C28"/>
    <w:rsid w:val="00E6050C"/>
    <w:rsid w:val="00E72FEE"/>
    <w:rsid w:val="00E77241"/>
    <w:rsid w:val="00E83B9D"/>
    <w:rsid w:val="00E84568"/>
    <w:rsid w:val="00E86AF5"/>
    <w:rsid w:val="00E91ABD"/>
    <w:rsid w:val="00E939C0"/>
    <w:rsid w:val="00E96AF0"/>
    <w:rsid w:val="00EA0144"/>
    <w:rsid w:val="00EC1019"/>
    <w:rsid w:val="00EC53DB"/>
    <w:rsid w:val="00EF6EE6"/>
    <w:rsid w:val="00F07413"/>
    <w:rsid w:val="00F1716E"/>
    <w:rsid w:val="00F172FF"/>
    <w:rsid w:val="00F216C7"/>
    <w:rsid w:val="00F24947"/>
    <w:rsid w:val="00F26EF5"/>
    <w:rsid w:val="00F33226"/>
    <w:rsid w:val="00F409E4"/>
    <w:rsid w:val="00F41A08"/>
    <w:rsid w:val="00F52448"/>
    <w:rsid w:val="00F576DB"/>
    <w:rsid w:val="00F637CF"/>
    <w:rsid w:val="00F6546E"/>
    <w:rsid w:val="00F74B6D"/>
    <w:rsid w:val="00F778DC"/>
    <w:rsid w:val="00F91AFD"/>
    <w:rsid w:val="00F9542F"/>
    <w:rsid w:val="00F96714"/>
    <w:rsid w:val="00FA49E8"/>
    <w:rsid w:val="00FA6CA3"/>
    <w:rsid w:val="00FB539E"/>
    <w:rsid w:val="00FC00CC"/>
    <w:rsid w:val="00FC1D5A"/>
    <w:rsid w:val="00FC4170"/>
    <w:rsid w:val="00FC6ACE"/>
    <w:rsid w:val="00FD0862"/>
    <w:rsid w:val="00FE21BA"/>
    <w:rsid w:val="00FE452E"/>
    <w:rsid w:val="00FE4B03"/>
    <w:rsid w:val="00FE7581"/>
    <w:rsid w:val="00FF1E02"/>
    <w:rsid w:val="06E17D3B"/>
    <w:rsid w:val="07FC2E16"/>
    <w:rsid w:val="16826719"/>
    <w:rsid w:val="18C75D35"/>
    <w:rsid w:val="1BBC0C21"/>
    <w:rsid w:val="23201ABB"/>
    <w:rsid w:val="2BE97372"/>
    <w:rsid w:val="2D8165B1"/>
    <w:rsid w:val="31350623"/>
    <w:rsid w:val="335635F0"/>
    <w:rsid w:val="36187D6F"/>
    <w:rsid w:val="38044D88"/>
    <w:rsid w:val="45FA2BA1"/>
    <w:rsid w:val="4C1C049B"/>
    <w:rsid w:val="4DF92CF4"/>
    <w:rsid w:val="4E0A0EF3"/>
    <w:rsid w:val="53383B95"/>
    <w:rsid w:val="55CB0932"/>
    <w:rsid w:val="5B2630E4"/>
    <w:rsid w:val="64532A9C"/>
    <w:rsid w:val="64C65881"/>
    <w:rsid w:val="6A5B1612"/>
    <w:rsid w:val="6DAB215D"/>
    <w:rsid w:val="774D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semiHidden="0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1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9"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0"/>
    <w:semiHidden/>
    <w:unhideWhenUsed/>
    <w:qFormat/>
    <w:uiPriority w:val="0"/>
    <w:pPr>
      <w:keepNext/>
      <w:keepLines/>
      <w:spacing w:before="260" w:after="260" w:line="412" w:lineRule="auto"/>
      <w:outlineLvl w:val="2"/>
    </w:pPr>
    <w:rPr>
      <w:rFonts w:cs="宋体" w:asciiTheme="minorHAnsi" w:hAnsiTheme="minorHAnsi" w:eastAsiaTheme="minorEastAsia"/>
      <w:b/>
      <w:sz w:val="32"/>
    </w:rPr>
  </w:style>
  <w:style w:type="paragraph" w:styleId="5">
    <w:name w:val="heading 4"/>
    <w:basedOn w:val="1"/>
    <w:next w:val="1"/>
    <w:link w:val="35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1"/>
    <w:unhideWhenUsed/>
    <w:qFormat/>
    <w:uiPriority w:val="0"/>
    <w:pPr>
      <w:jc w:val="left"/>
    </w:pPr>
  </w:style>
  <w:style w:type="paragraph" w:styleId="7">
    <w:name w:val="Body Text"/>
    <w:basedOn w:val="1"/>
    <w:link w:val="24"/>
    <w:qFormat/>
    <w:uiPriority w:val="1"/>
    <w:pPr>
      <w:autoSpaceDE w:val="0"/>
      <w:autoSpaceDN w:val="0"/>
      <w:adjustRightInd w:val="0"/>
      <w:spacing w:before="7"/>
      <w:ind w:left="1607"/>
      <w:jc w:val="left"/>
    </w:pPr>
    <w:rPr>
      <w:rFonts w:ascii="宋体" w:hAnsi="Times New Roman" w:eastAsia="宋体" w:cs="宋体"/>
      <w:kern w:val="0"/>
      <w:sz w:val="30"/>
      <w:szCs w:val="30"/>
    </w:rPr>
  </w:style>
  <w:style w:type="paragraph" w:styleId="8">
    <w:name w:val="Date"/>
    <w:basedOn w:val="1"/>
    <w:next w:val="1"/>
    <w:link w:val="36"/>
    <w:semiHidden/>
    <w:unhideWhenUsed/>
    <w:qFormat/>
    <w:uiPriority w:val="99"/>
    <w:pPr>
      <w:ind w:left="100" w:leftChars="2500"/>
    </w:pPr>
    <w:rPr>
      <w:rFonts w:asciiTheme="minorHAnsi" w:hAnsiTheme="minorHAnsi" w:eastAsiaTheme="minorEastAsia" w:cstheme="minorBidi"/>
    </w:rPr>
  </w:style>
  <w:style w:type="paragraph" w:styleId="9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Title"/>
    <w:basedOn w:val="1"/>
    <w:link w:val="26"/>
    <w:qFormat/>
    <w:uiPriority w:val="1"/>
    <w:pPr>
      <w:autoSpaceDE w:val="0"/>
      <w:autoSpaceDN w:val="0"/>
      <w:spacing w:before="213"/>
      <w:ind w:left="587" w:right="614"/>
      <w:jc w:val="center"/>
    </w:pPr>
    <w:rPr>
      <w:rFonts w:ascii="宋体" w:hAnsi="宋体" w:eastAsia="宋体" w:cs="宋体"/>
      <w:b/>
      <w:bCs/>
      <w:kern w:val="0"/>
      <w:sz w:val="44"/>
      <w:szCs w:val="44"/>
    </w:rPr>
  </w:style>
  <w:style w:type="paragraph" w:styleId="14">
    <w:name w:val="annotation subject"/>
    <w:basedOn w:val="6"/>
    <w:next w:val="6"/>
    <w:link w:val="32"/>
    <w:semiHidden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Emphasis"/>
    <w:basedOn w:val="17"/>
    <w:qFormat/>
    <w:uiPriority w:val="20"/>
    <w:rPr>
      <w:i/>
      <w:iCs/>
    </w:rPr>
  </w:style>
  <w:style w:type="character" w:styleId="20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1">
    <w:name w:val="annotation reference"/>
    <w:basedOn w:val="17"/>
    <w:unhideWhenUsed/>
    <w:qFormat/>
    <w:uiPriority w:val="0"/>
    <w:rPr>
      <w:sz w:val="21"/>
      <w:szCs w:val="21"/>
    </w:rPr>
  </w:style>
  <w:style w:type="character" w:customStyle="1" w:styleId="22">
    <w:name w:val="页眉 字符"/>
    <w:link w:val="11"/>
    <w:qFormat/>
    <w:uiPriority w:val="99"/>
    <w:rPr>
      <w:sz w:val="18"/>
      <w:szCs w:val="18"/>
    </w:rPr>
  </w:style>
  <w:style w:type="character" w:customStyle="1" w:styleId="23">
    <w:name w:val="页脚 字符"/>
    <w:link w:val="10"/>
    <w:qFormat/>
    <w:uiPriority w:val="99"/>
    <w:rPr>
      <w:sz w:val="18"/>
      <w:szCs w:val="18"/>
    </w:rPr>
  </w:style>
  <w:style w:type="character" w:customStyle="1" w:styleId="24">
    <w:name w:val="正文文本 字符"/>
    <w:link w:val="7"/>
    <w:qFormat/>
    <w:uiPriority w:val="1"/>
    <w:rPr>
      <w:rFonts w:ascii="宋体" w:hAnsi="Times New Roman" w:eastAsia="宋体" w:cs="宋体"/>
      <w:kern w:val="0"/>
      <w:sz w:val="30"/>
      <w:szCs w:val="30"/>
    </w:rPr>
  </w:style>
  <w:style w:type="paragraph" w:customStyle="1" w:styleId="25">
    <w:name w:val="列表段落1"/>
    <w:basedOn w:val="1"/>
    <w:qFormat/>
    <w:uiPriority w:val="34"/>
    <w:pPr>
      <w:ind w:firstLine="420" w:firstLineChars="200"/>
    </w:pPr>
    <w:rPr>
      <w:rFonts w:ascii="Times New Roman" w:hAnsi="Times New Roman" w:eastAsia="宋体" w:cs="黑体"/>
    </w:rPr>
  </w:style>
  <w:style w:type="character" w:customStyle="1" w:styleId="26">
    <w:name w:val="标题 字符"/>
    <w:link w:val="13"/>
    <w:qFormat/>
    <w:uiPriority w:val="1"/>
    <w:rPr>
      <w:rFonts w:ascii="宋体" w:hAnsi="宋体" w:eastAsia="宋体" w:cs="宋体"/>
      <w:b/>
      <w:bCs/>
      <w:kern w:val="0"/>
      <w:sz w:val="44"/>
      <w:szCs w:val="44"/>
    </w:rPr>
  </w:style>
  <w:style w:type="character" w:customStyle="1" w:styleId="27">
    <w:name w:val="批注框文本 字符"/>
    <w:basedOn w:val="17"/>
    <w:link w:val="9"/>
    <w:semiHidden/>
    <w:qFormat/>
    <w:uiPriority w:val="99"/>
    <w:rPr>
      <w:kern w:val="2"/>
      <w:sz w:val="18"/>
      <w:szCs w:val="18"/>
    </w:rPr>
  </w:style>
  <w:style w:type="paragraph" w:styleId="28">
    <w:name w:val="List Paragraph"/>
    <w:basedOn w:val="1"/>
    <w:qFormat/>
    <w:uiPriority w:val="34"/>
    <w:pPr>
      <w:ind w:firstLine="420" w:firstLineChars="200"/>
    </w:pPr>
  </w:style>
  <w:style w:type="character" w:customStyle="1" w:styleId="29">
    <w:name w:val="标题 2 字符"/>
    <w:basedOn w:val="17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0">
    <w:name w:val="标题 3 字符"/>
    <w:basedOn w:val="17"/>
    <w:link w:val="4"/>
    <w:semiHidden/>
    <w:qFormat/>
    <w:uiPriority w:val="0"/>
    <w:rPr>
      <w:rFonts w:cs="宋体" w:asciiTheme="minorHAnsi" w:hAnsiTheme="minorHAnsi" w:eastAsiaTheme="minorEastAsia"/>
      <w:b/>
      <w:kern w:val="2"/>
      <w:sz w:val="32"/>
      <w:szCs w:val="22"/>
    </w:rPr>
  </w:style>
  <w:style w:type="character" w:customStyle="1" w:styleId="31">
    <w:name w:val="批注文字 字符"/>
    <w:basedOn w:val="17"/>
    <w:link w:val="6"/>
    <w:qFormat/>
    <w:uiPriority w:val="0"/>
    <w:rPr>
      <w:kern w:val="2"/>
      <w:sz w:val="21"/>
      <w:szCs w:val="22"/>
    </w:rPr>
  </w:style>
  <w:style w:type="character" w:customStyle="1" w:styleId="32">
    <w:name w:val="批注主题 字符"/>
    <w:basedOn w:val="31"/>
    <w:link w:val="14"/>
    <w:semiHidden/>
    <w:qFormat/>
    <w:uiPriority w:val="99"/>
    <w:rPr>
      <w:b/>
      <w:bCs/>
      <w:kern w:val="2"/>
      <w:sz w:val="21"/>
      <w:szCs w:val="22"/>
    </w:rPr>
  </w:style>
  <w:style w:type="paragraph" w:customStyle="1" w:styleId="33">
    <w:name w:val="修订1"/>
    <w:hidden/>
    <w:semiHidden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customStyle="1" w:styleId="34">
    <w:name w:val="标题 1 字符"/>
    <w:basedOn w:val="17"/>
    <w:link w:val="2"/>
    <w:qFormat/>
    <w:uiPriority w:val="1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35">
    <w:name w:val="标题 4 字符"/>
    <w:basedOn w:val="17"/>
    <w:link w:val="5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6">
    <w:name w:val="日期 字符"/>
    <w:basedOn w:val="17"/>
    <w:link w:val="8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customStyle="1" w:styleId="37">
    <w:name w:val="列出段落1"/>
    <w:basedOn w:val="1"/>
    <w:qFormat/>
    <w:uiPriority w:val="0"/>
    <w:pPr>
      <w:ind w:firstLine="420" w:firstLineChars="200"/>
    </w:pPr>
    <w:rPr>
      <w:rFonts w:ascii="Calibri" w:hAnsi="Calibri" w:eastAsia="宋体"/>
    </w:rPr>
  </w:style>
  <w:style w:type="paragraph" w:customStyle="1" w:styleId="3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paragraph" w:customStyle="1" w:styleId="39">
    <w:name w:val="修订1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正文格式"/>
    <w:basedOn w:val="1"/>
    <w:link w:val="41"/>
    <w:qFormat/>
    <w:uiPriority w:val="0"/>
    <w:pPr>
      <w:spacing w:line="360" w:lineRule="auto"/>
      <w:ind w:firstLine="480" w:firstLineChars="200"/>
    </w:pPr>
    <w:rPr>
      <w:rFonts w:asciiTheme="minorEastAsia" w:hAnsiTheme="minorEastAsia" w:eastAsiaTheme="minorEastAsia" w:cstheme="minorBidi"/>
      <w:sz w:val="24"/>
      <w:szCs w:val="24"/>
    </w:rPr>
  </w:style>
  <w:style w:type="character" w:customStyle="1" w:styleId="41">
    <w:name w:val="正文格式 Char2"/>
    <w:basedOn w:val="17"/>
    <w:link w:val="40"/>
    <w:qFormat/>
    <w:uiPriority w:val="0"/>
    <w:rPr>
      <w:rFonts w:asciiTheme="minorEastAsia" w:hAnsiTheme="minorEastAsia" w:eastAsiaTheme="minorEastAsia" w:cstheme="minorBidi"/>
      <w:kern w:val="2"/>
      <w:sz w:val="24"/>
      <w:szCs w:val="24"/>
    </w:rPr>
  </w:style>
  <w:style w:type="paragraph" w:customStyle="1" w:styleId="42">
    <w:name w:val="标题3"/>
    <w:basedOn w:val="1"/>
    <w:link w:val="45"/>
    <w:qFormat/>
    <w:uiPriority w:val="0"/>
    <w:pPr>
      <w:keepNext/>
      <w:keepLines/>
      <w:spacing w:line="360" w:lineRule="auto"/>
      <w:ind w:firstLine="480" w:firstLineChars="200"/>
      <w:outlineLvl w:val="2"/>
    </w:pPr>
    <w:rPr>
      <w:rFonts w:asciiTheme="majorEastAsia" w:hAnsiTheme="majorEastAsia" w:eastAsiaTheme="majorEastAsia" w:cstheme="minorBidi"/>
      <w:bCs/>
      <w:sz w:val="24"/>
      <w:szCs w:val="24"/>
    </w:rPr>
  </w:style>
  <w:style w:type="paragraph" w:customStyle="1" w:styleId="43">
    <w:name w:val="图"/>
    <w:basedOn w:val="1"/>
    <w:link w:val="44"/>
    <w:qFormat/>
    <w:uiPriority w:val="0"/>
    <w:pPr>
      <w:spacing w:after="312"/>
      <w:jc w:val="center"/>
    </w:pPr>
    <w:rPr>
      <w:rFonts w:asciiTheme="minorHAnsi" w:hAnsiTheme="minorHAnsi" w:eastAsiaTheme="minorEastAsia" w:cstheme="minorBidi"/>
    </w:rPr>
  </w:style>
  <w:style w:type="character" w:customStyle="1" w:styleId="44">
    <w:name w:val="图 Char"/>
    <w:basedOn w:val="17"/>
    <w:link w:val="43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5">
    <w:name w:val="标题3 Char"/>
    <w:basedOn w:val="17"/>
    <w:link w:val="42"/>
    <w:qFormat/>
    <w:uiPriority w:val="0"/>
    <w:rPr>
      <w:rFonts w:asciiTheme="majorEastAsia" w:hAnsiTheme="majorEastAsia" w:eastAsiaTheme="majorEastAsia" w:cstheme="minorBidi"/>
      <w:bCs/>
      <w:kern w:val="2"/>
      <w:sz w:val="24"/>
      <w:szCs w:val="24"/>
    </w:rPr>
  </w:style>
  <w:style w:type="paragraph" w:customStyle="1" w:styleId="46">
    <w:name w:val="表"/>
    <w:basedOn w:val="1"/>
    <w:link w:val="47"/>
    <w:qFormat/>
    <w:uiPriority w:val="0"/>
    <w:pPr>
      <w:adjustRightInd w:val="0"/>
      <w:snapToGrid w:val="0"/>
      <w:spacing w:beforeLines="50"/>
      <w:ind w:firstLine="420"/>
      <w:jc w:val="center"/>
    </w:pPr>
    <w:rPr>
      <w:rFonts w:ascii="宋体" w:hAnsi="宋体" w:eastAsia="宋体" w:cstheme="minorBidi"/>
      <w:bCs/>
      <w:color w:val="000000" w:themeColor="text1"/>
      <w:szCs w:val="21"/>
      <w14:textFill>
        <w14:solidFill>
          <w14:schemeClr w14:val="tx1"/>
        </w14:solidFill>
      </w14:textFill>
    </w:rPr>
  </w:style>
  <w:style w:type="character" w:customStyle="1" w:styleId="47">
    <w:name w:val="表 Char1"/>
    <w:basedOn w:val="17"/>
    <w:link w:val="46"/>
    <w:qFormat/>
    <w:uiPriority w:val="0"/>
    <w:rPr>
      <w:rFonts w:ascii="宋体" w:hAnsi="宋体" w:eastAsia="宋体" w:cstheme="minorBidi"/>
      <w:bCs/>
      <w:color w:val="000000" w:themeColor="text1"/>
      <w:kern w:val="2"/>
      <w:sz w:val="21"/>
      <w:szCs w:val="21"/>
      <w14:textFill>
        <w14:solidFill>
          <w14:schemeClr w14:val="tx1"/>
        </w14:solidFill>
      </w14:textFill>
    </w:rPr>
  </w:style>
  <w:style w:type="character" w:styleId="48">
    <w:name w:val="Placeholder Text"/>
    <w:basedOn w:val="17"/>
    <w:semiHidden/>
    <w:qFormat/>
    <w:uiPriority w:val="99"/>
    <w:rPr>
      <w:color w:val="808080"/>
    </w:rPr>
  </w:style>
  <w:style w:type="character" w:customStyle="1" w:styleId="49">
    <w:name w:val="ask-title2"/>
    <w:basedOn w:val="17"/>
    <w:qFormat/>
    <w:uiPriority w:val="0"/>
  </w:style>
  <w:style w:type="paragraph" w:customStyle="1" w:styleId="50">
    <w:name w:val="修订2"/>
    <w:hidden/>
    <w:semiHidden/>
    <w:qFormat/>
    <w:uiPriority w:val="99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table" w:customStyle="1" w:styleId="51">
    <w:name w:val="清单表 3 - 着色 21"/>
    <w:basedOn w:val="15"/>
    <w:qFormat/>
    <w:uiPriority w:val="48"/>
    <w:rPr>
      <w:rFonts w:ascii="Times New Roman" w:hAnsi="Times New Roman" w:eastAsia="宋体"/>
    </w:rPr>
    <w:tblPr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tcPr>
        <w:tcBorders>
          <w:top w:val="single" w:color="ED7D31" w:themeColor="accent2" w:sz="4" w:space="0"/>
          <w:bottom w:val="single" w:color="ED7D31" w:themeColor="accent2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ED7D31" w:themeColor="accent2" w:sz="4" w:space="0"/>
          <w:left w:val="nil"/>
        </w:tcBorders>
      </w:tcPr>
    </w:tblStylePr>
    <w:tblStylePr w:type="swCell">
      <w:tcPr>
        <w:tcBorders>
          <w:top w:val="double" w:color="ED7D31" w:themeColor="accent2" w:sz="4" w:space="0"/>
          <w:right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11174-AD22-4614-9FD7-616733EDD7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3295</Words>
  <Characters>3462</Characters>
  <Lines>219</Lines>
  <Paragraphs>259</Paragraphs>
  <TotalTime>2</TotalTime>
  <ScaleCrop>false</ScaleCrop>
  <LinksUpToDate>false</LinksUpToDate>
  <CharactersWithSpaces>3470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2025-07-15T16:48:00Z</dcterms:created>
  <dc:creator>84161277@qq.com</dc:creator>
  <cp:lastModifiedBy>钱俊</cp:lastModifiedBy>
  <dcterms:modified xsi:type="dcterms:W3CDTF">2026-07-11T16:33:41Z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AF7666A287B64C588ADCED73F9466AA0_13</vt:lpwstr>
  </property>
  <property fmtid="{D5CDD505-2E9C-101B-9397-08002B2CF9AE}" pid="4" name="KSOTemplateDocerSaveRecord">
    <vt:lpwstr>eyJoZGlkIjoiMDM5ZjA4YzFjNzNjZGVjZTdlYzgzNTg0NmIyMTAzNzYiLCJ1c2VySWQiOiIxNjM3MTQxNzYyIn0=</vt:lpwstr>
  </property>
</Properties>
</file>