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89F031">
      <w:pPr>
        <w:pStyle w:val="3"/>
        <w:spacing w:before="217" w:line="225" w:lineRule="auto"/>
        <w:rPr>
          <w:rFonts w:hint="default" w:eastAsia="宋体" w:cs="Times New Roman"/>
          <w:b/>
          <w:w w:val="95"/>
          <w:sz w:val="32"/>
          <w:szCs w:val="32"/>
          <w:lang w:val="en-US" w:eastAsia="zh-CN" w:bidi="ar"/>
        </w:rPr>
      </w:pPr>
      <w:r>
        <w:rPr>
          <w:rFonts w:hint="eastAsia" w:cs="Times New Roman"/>
          <w:b/>
          <w:w w:val="95"/>
          <w:sz w:val="32"/>
          <w:szCs w:val="32"/>
          <w:lang w:val="en-US" w:eastAsia="zh-CN" w:bidi="ar"/>
        </w:rPr>
        <w:t>附件4-1</w:t>
      </w:r>
    </w:p>
    <w:p w14:paraId="299B4A94">
      <w:pPr>
        <w:pStyle w:val="3"/>
        <w:spacing w:before="217" w:line="225" w:lineRule="auto"/>
        <w:rPr>
          <w:sz w:val="31"/>
          <w:szCs w:val="31"/>
        </w:rPr>
      </w:pPr>
      <w:r>
        <w:rPr>
          <w:rFonts w:hint="eastAsia" w:cs="Times New Roman"/>
          <w:b/>
          <w:w w:val="95"/>
          <w:sz w:val="32"/>
          <w:szCs w:val="32"/>
          <w:lang w:bidi="ar"/>
        </w:rPr>
        <w:t>“华航唯实杯”第十三届浙江省大学生工程实践与创新能力大赛</w:t>
      </w:r>
    </w:p>
    <w:p w14:paraId="47D90ABF">
      <w:pPr>
        <w:pStyle w:val="3"/>
        <w:spacing w:before="297" w:line="223" w:lineRule="auto"/>
        <w:ind w:left="1311"/>
        <w:outlineLvl w:val="0"/>
        <w:rPr>
          <w:sz w:val="43"/>
          <w:szCs w:val="43"/>
        </w:rPr>
      </w:pPr>
      <w:r>
        <w:rPr>
          <w:b/>
          <w:bCs/>
          <w:spacing w:val="4"/>
          <w:sz w:val="43"/>
          <w:szCs w:val="43"/>
        </w:rPr>
        <w:t>智能低空消防赛项命题与运行</w:t>
      </w:r>
    </w:p>
    <w:p w14:paraId="183C8F5D">
      <w:pPr>
        <w:spacing w:line="259" w:lineRule="auto"/>
        <w:rPr>
          <w:rFonts w:ascii="Arial"/>
          <w:sz w:val="21"/>
        </w:rPr>
      </w:pPr>
    </w:p>
    <w:p w14:paraId="5DE566E6">
      <w:pPr>
        <w:spacing w:line="260" w:lineRule="auto"/>
        <w:rPr>
          <w:rFonts w:ascii="Arial"/>
          <w:sz w:val="21"/>
        </w:rPr>
      </w:pPr>
    </w:p>
    <w:p w14:paraId="0B52D5F6">
      <w:pPr>
        <w:pStyle w:val="3"/>
        <w:spacing w:before="0" w:line="360" w:lineRule="auto"/>
        <w:ind w:left="0" w:right="0" w:firstLine="480" w:firstLineChars="200"/>
        <w:rPr>
          <w:rFonts w:hint="eastAsia" w:ascii="宋体" w:hAnsi="宋体" w:eastAsia="宋体" w:cs="宋体"/>
        </w:rPr>
      </w:pPr>
      <w:r>
        <w:rPr>
          <w:rFonts w:hint="eastAsia" w:ascii="宋体" w:hAnsi="宋体" w:eastAsia="宋体" w:cs="宋体"/>
        </w:rPr>
        <w:t>低空经济被列为国家战略性新兴产业，智能低空消防既是国家应急安全的刚需，也是低空经济产业化的关键抓手，更是新质生产力赋能公共安全、支撑中国式现代化的战略选择。随着城镇化建设持续提速，城市规模不断扩大，超高层楼宇、大型商业综合体、山林野外、地下管廊、城市隧道、密集老旧居民区、化工产业园等高危复杂建筑场景数量持续攀升，将低空消防与人工智能相结合，融合自主导航、视频实时回传、精准物资投送等前沿技术，实现快速抵达、快速侦察、高空俯瞰人员无法抵达的高危消防核心区域，完成消防侦察、人员定位、隐患排查、应急物资投放、危险品物质处置、现场态势回传等实战任务，弥补现代消防短板，助力低空经济有序发展，推动智能飞行、应急装备等产业技术创新与国产化升级，加快智慧应急建设。因此，通过构建全新低空消防应用场景，现代化消防安全知识，有效提升师生及社会群体防灾避险意识，筑牢全民消防安全思想防线。</w:t>
      </w:r>
    </w:p>
    <w:p w14:paraId="4A45AE6A">
      <w:pPr>
        <w:pStyle w:val="3"/>
        <w:spacing w:before="0" w:line="360" w:lineRule="auto"/>
        <w:outlineLvl w:val="9"/>
        <w:rPr>
          <w:rFonts w:hint="eastAsia" w:ascii="黑体" w:hAnsi="黑体" w:eastAsia="黑体" w:cs="黑体"/>
          <w:b/>
          <w:bCs/>
          <w:sz w:val="28"/>
          <w:szCs w:val="28"/>
        </w:rPr>
      </w:pPr>
      <w:r>
        <w:rPr>
          <w:rFonts w:hint="eastAsia" w:ascii="黑体" w:hAnsi="黑体" w:eastAsia="黑体" w:cs="黑体"/>
          <w:b/>
          <w:bCs/>
          <w:sz w:val="28"/>
          <w:szCs w:val="28"/>
        </w:rPr>
        <w:t>1</w:t>
      </w:r>
      <w:r>
        <w:rPr>
          <w:rFonts w:hint="eastAsia" w:ascii="黑体" w:hAnsi="黑体" w:eastAsia="黑体" w:cs="黑体"/>
          <w:b/>
          <w:bCs/>
          <w:sz w:val="28"/>
          <w:szCs w:val="28"/>
          <w:lang w:val="en-US" w:eastAsia="zh-CN"/>
        </w:rPr>
        <w:t>.</w:t>
      </w:r>
      <w:r>
        <w:rPr>
          <w:rFonts w:hint="eastAsia" w:ascii="黑体" w:hAnsi="黑体" w:eastAsia="黑体" w:cs="黑体"/>
          <w:b/>
          <w:bCs/>
          <w:sz w:val="28"/>
          <w:szCs w:val="28"/>
        </w:rPr>
        <w:t>参赛作品/内容要求</w:t>
      </w:r>
    </w:p>
    <w:p w14:paraId="6915D435">
      <w:pPr>
        <w:pStyle w:val="3"/>
        <w:spacing w:before="0" w:line="360" w:lineRule="auto"/>
        <w:ind w:left="0" w:right="0" w:firstLine="480" w:firstLineChars="200"/>
        <w:jc w:val="left"/>
        <w:rPr>
          <w:rFonts w:hint="eastAsia" w:ascii="宋体" w:hAnsi="宋体" w:eastAsia="宋体" w:cs="宋体"/>
        </w:rPr>
      </w:pPr>
      <w:r>
        <w:rPr>
          <w:rFonts w:hint="eastAsia" w:ascii="宋体" w:hAnsi="宋体" w:eastAsia="宋体" w:cs="宋体"/>
        </w:rPr>
        <w:t>本赛项要求参赛队自主设计并制作一台在指定模拟消防场景内按照要求完成消防任务的智能消防四旋翼无人机（以下简称：无人机）。除标准件外，非标零件应自主设计和制造，不允许使用购买的成品套件拼装而成，而且该作品必须适应现场环境。</w:t>
      </w:r>
    </w:p>
    <w:p w14:paraId="0E1BE01A">
      <w:pPr>
        <w:pStyle w:val="3"/>
        <w:spacing w:before="0" w:line="360" w:lineRule="auto"/>
        <w:outlineLvl w:val="9"/>
        <w:rPr>
          <w:rFonts w:hint="eastAsia" w:ascii="宋体" w:hAnsi="宋体" w:eastAsia="宋体" w:cs="宋体"/>
          <w:b/>
          <w:bCs/>
        </w:rPr>
      </w:pPr>
      <w:r>
        <w:rPr>
          <w:rFonts w:hint="eastAsia" w:ascii="宋体" w:hAnsi="宋体" w:eastAsia="宋体" w:cs="宋体"/>
          <w:b/>
          <w:bCs/>
          <w:lang w:eastAsia="zh-CN"/>
        </w:rPr>
        <w:t>（</w:t>
      </w:r>
      <w:r>
        <w:rPr>
          <w:rFonts w:hint="eastAsia" w:ascii="宋体" w:hAnsi="宋体" w:eastAsia="宋体" w:cs="宋体"/>
          <w:b/>
          <w:bCs/>
          <w:lang w:val="en-US" w:eastAsia="zh-CN"/>
        </w:rPr>
        <w:t>1</w:t>
      </w:r>
      <w:r>
        <w:rPr>
          <w:rFonts w:hint="eastAsia" w:ascii="宋体" w:hAnsi="宋体" w:eastAsia="宋体" w:cs="宋体"/>
          <w:b/>
          <w:bCs/>
          <w:lang w:eastAsia="zh-CN"/>
        </w:rPr>
        <w:t>）</w:t>
      </w:r>
      <w:r>
        <w:rPr>
          <w:rFonts w:hint="eastAsia" w:ascii="宋体" w:hAnsi="宋体" w:eastAsia="宋体" w:cs="宋体"/>
          <w:b/>
          <w:bCs/>
        </w:rPr>
        <w:t>功能要求</w:t>
      </w:r>
    </w:p>
    <w:p w14:paraId="70E4D963">
      <w:pPr>
        <w:pStyle w:val="3"/>
        <w:spacing w:before="0" w:line="360" w:lineRule="auto"/>
        <w:ind w:left="0" w:right="0" w:firstLine="480" w:firstLineChars="200"/>
        <w:rPr>
          <w:rFonts w:hint="eastAsia" w:ascii="宋体" w:hAnsi="宋体" w:eastAsia="宋体" w:cs="宋体"/>
        </w:rPr>
      </w:pPr>
      <w:r>
        <w:rPr>
          <w:rFonts w:hint="eastAsia" w:ascii="宋体" w:hAnsi="宋体" w:eastAsia="宋体" w:cs="宋体"/>
        </w:rPr>
        <w:t>1）无人机应具有位置，速度、高度、航向的精确控制功能。并具备自主避障、路径规划、载运及投放物资、信息回传、屏幕录制等功能，不得使用超宽带定位设备（UWB）、动态捕捉系统等外置辅助定位装置，应满足赛项运行环境要求。</w:t>
      </w:r>
    </w:p>
    <w:p w14:paraId="6F069640">
      <w:pPr>
        <w:pStyle w:val="3"/>
        <w:spacing w:before="0" w:line="360" w:lineRule="auto"/>
        <w:ind w:right="0" w:firstLine="480" w:firstLineChars="200"/>
        <w:jc w:val="left"/>
        <w:rPr>
          <w:rFonts w:hint="eastAsia" w:ascii="宋体" w:hAnsi="宋体" w:eastAsia="宋体" w:cs="宋体"/>
        </w:rPr>
      </w:pPr>
      <w:r>
        <w:rPr>
          <w:rFonts w:hint="eastAsia" w:ascii="宋体" w:hAnsi="宋体" w:eastAsia="宋体" w:cs="宋体"/>
        </w:rPr>
        <w:t>2）飞控应采用开源飞控，具备二次开发功能，满足任务命题中控制部分</w:t>
      </w:r>
    </w:p>
    <w:p w14:paraId="040B778B">
      <w:pPr>
        <w:pStyle w:val="3"/>
        <w:spacing w:line="360" w:lineRule="auto"/>
        <w:ind w:firstLine="480" w:firstLineChars="200"/>
        <w:rPr>
          <w:rFonts w:hint="eastAsia" w:ascii="宋体" w:hAnsi="宋体" w:eastAsia="宋体" w:cs="宋体"/>
        </w:rPr>
        <w:sectPr>
          <w:pgSz w:w="11907" w:h="16839"/>
          <w:pgMar w:top="1440" w:right="1587" w:bottom="1440" w:left="1587" w:header="0" w:footer="0" w:gutter="0"/>
          <w:paperSrc/>
          <w:pgBorders>
            <w:top w:val="none" w:sz="0" w:space="0"/>
            <w:left w:val="none" w:sz="0" w:space="0"/>
            <w:bottom w:val="none" w:sz="0" w:space="0"/>
            <w:right w:val="none" w:sz="0" w:space="0"/>
          </w:pgBorders>
          <w:cols w:space="0" w:num="1"/>
          <w:rtlGutter w:val="0"/>
          <w:docGrid w:linePitch="0" w:charSpace="0"/>
        </w:sectPr>
      </w:pPr>
    </w:p>
    <w:p w14:paraId="6E9F0E8A">
      <w:pPr>
        <w:pStyle w:val="3"/>
        <w:spacing w:before="0" w:line="360" w:lineRule="auto"/>
        <w:ind w:left="0" w:firstLine="480" w:firstLineChars="200"/>
        <w:rPr>
          <w:rFonts w:hint="eastAsia" w:ascii="宋体" w:hAnsi="宋体" w:eastAsia="宋体" w:cs="宋体"/>
        </w:rPr>
      </w:pPr>
      <w:r>
        <w:rPr>
          <w:rFonts w:hint="eastAsia" w:ascii="宋体" w:hAnsi="宋体" w:eastAsia="宋体" w:cs="宋体"/>
        </w:rPr>
        <w:t>功能开发要求。</w:t>
      </w:r>
    </w:p>
    <w:p w14:paraId="36061386">
      <w:pPr>
        <w:pStyle w:val="3"/>
        <w:spacing w:before="0" w:line="360" w:lineRule="auto"/>
        <w:ind w:left="0" w:firstLine="480" w:firstLineChars="200"/>
        <w:rPr>
          <w:rFonts w:hint="eastAsia" w:ascii="宋体" w:hAnsi="宋体" w:eastAsia="宋体" w:cs="宋体"/>
        </w:rPr>
      </w:pPr>
      <w:r>
        <w:rPr>
          <w:rFonts w:hint="eastAsia" w:ascii="宋体" w:hAnsi="宋体" w:eastAsia="宋体" w:cs="宋体"/>
        </w:rPr>
        <w:t>3）在比赛过程中，无人机应具备控制方式切换能力，可在自主飞行与手动操控模式间进行切换，自主任务过程中出现故障时可切换至手动模式正常降落，保障现场安全、可控。</w:t>
      </w:r>
    </w:p>
    <w:p w14:paraId="67EFAA3D">
      <w:pPr>
        <w:pStyle w:val="3"/>
        <w:spacing w:line="360" w:lineRule="auto"/>
        <w:ind w:left="0" w:firstLine="480" w:firstLineChars="200"/>
        <w:rPr>
          <w:rFonts w:hint="eastAsia" w:ascii="宋体" w:hAnsi="宋体" w:eastAsia="宋体" w:cs="宋体"/>
        </w:rPr>
      </w:pPr>
      <w:r>
        <w:rPr>
          <w:rFonts w:hint="eastAsia" w:ascii="宋体" w:hAnsi="宋体" w:eastAsia="宋体" w:cs="宋体"/>
        </w:rPr>
        <w:t>4）无人机飞行状态信息可实时回传。</w:t>
      </w:r>
    </w:p>
    <w:p w14:paraId="26AA20FA">
      <w:pPr>
        <w:pStyle w:val="3"/>
        <w:spacing w:before="0" w:line="360" w:lineRule="auto"/>
        <w:ind w:left="0" w:right="0" w:firstLine="480" w:firstLineChars="200"/>
        <w:rPr>
          <w:rFonts w:hint="eastAsia" w:ascii="宋体" w:hAnsi="宋体" w:eastAsia="宋体" w:cs="宋体"/>
        </w:rPr>
      </w:pPr>
      <w:r>
        <w:rPr>
          <w:rFonts w:hint="eastAsia" w:ascii="宋体" w:hAnsi="宋体" w:eastAsia="宋体" w:cs="宋体"/>
        </w:rPr>
        <w:t>5）无人机可实现目标（如：图像、字母、数字或二维码） 自主识别与标注功能（如：对目标进行自主框选）。</w:t>
      </w:r>
    </w:p>
    <w:p w14:paraId="4A375F25">
      <w:pPr>
        <w:pStyle w:val="3"/>
        <w:spacing w:before="0" w:line="360" w:lineRule="auto"/>
        <w:outlineLvl w:val="9"/>
        <w:rPr>
          <w:rFonts w:hint="eastAsia" w:ascii="宋体" w:hAnsi="宋体" w:eastAsia="宋体" w:cs="宋体"/>
          <w:b/>
          <w:bCs/>
        </w:rPr>
      </w:pPr>
      <w:r>
        <w:rPr>
          <w:rFonts w:hint="eastAsia" w:ascii="宋体" w:hAnsi="宋体" w:eastAsia="宋体" w:cs="宋体"/>
          <w:b/>
          <w:bCs/>
          <w:lang w:eastAsia="zh-CN"/>
        </w:rPr>
        <w:t>（</w:t>
      </w:r>
      <w:r>
        <w:rPr>
          <w:rFonts w:hint="eastAsia" w:ascii="宋体" w:hAnsi="宋体" w:eastAsia="宋体" w:cs="宋体"/>
          <w:b/>
          <w:bCs/>
          <w:lang w:val="en-US" w:eastAsia="zh-CN"/>
        </w:rPr>
        <w:t>2</w:t>
      </w:r>
      <w:r>
        <w:rPr>
          <w:rFonts w:hint="eastAsia" w:ascii="宋体" w:hAnsi="宋体" w:eastAsia="宋体" w:cs="宋体"/>
          <w:b/>
          <w:bCs/>
          <w:lang w:eastAsia="zh-CN"/>
        </w:rPr>
        <w:t>）</w:t>
      </w:r>
      <w:r>
        <w:rPr>
          <w:rFonts w:hint="eastAsia" w:ascii="宋体" w:hAnsi="宋体" w:eastAsia="宋体" w:cs="宋体"/>
          <w:b/>
          <w:bCs/>
        </w:rPr>
        <w:t>电控和驱动要求</w:t>
      </w:r>
    </w:p>
    <w:p w14:paraId="3CAD1513">
      <w:pPr>
        <w:pStyle w:val="3"/>
        <w:spacing w:before="0" w:line="360" w:lineRule="auto"/>
        <w:ind w:left="0" w:right="0" w:firstLine="480" w:firstLineChars="200"/>
        <w:jc w:val="left"/>
        <w:rPr>
          <w:rFonts w:hint="eastAsia" w:ascii="宋体" w:hAnsi="宋体" w:eastAsia="宋体" w:cs="宋体"/>
        </w:rPr>
      </w:pPr>
      <w:r>
        <w:rPr>
          <w:rFonts w:hint="eastAsia" w:ascii="宋体" w:hAnsi="宋体" w:eastAsia="宋体" w:cs="宋体"/>
        </w:rPr>
        <w:t>无人机所用传感器和电机的种类及数量不限，在比赛过程中（包括调试）不能更换任何电子元器件。允许与笔记本电脑进行通讯，无人机起飞后参赛人员不能触碰笔记本电脑，参赛人员不可使用其它任何方式对无人机进行遥控。无人机在赛项运行过程中只可使用同一个机载电池供电，比赛过程中（含调试）不得更换电池。</w:t>
      </w:r>
    </w:p>
    <w:p w14:paraId="052F9BDB">
      <w:pPr>
        <w:pStyle w:val="3"/>
        <w:spacing w:before="0" w:line="360" w:lineRule="auto"/>
        <w:outlineLvl w:val="9"/>
        <w:rPr>
          <w:rFonts w:hint="eastAsia" w:ascii="宋体" w:hAnsi="宋体" w:eastAsia="宋体" w:cs="宋体"/>
          <w:b/>
          <w:bCs/>
        </w:rPr>
      </w:pPr>
      <w:r>
        <w:rPr>
          <w:rFonts w:hint="eastAsia" w:ascii="宋体" w:hAnsi="宋体" w:eastAsia="宋体" w:cs="宋体"/>
          <w:b/>
          <w:bCs/>
          <w:lang w:eastAsia="zh-CN"/>
        </w:rPr>
        <w:t>（</w:t>
      </w:r>
      <w:r>
        <w:rPr>
          <w:rFonts w:hint="eastAsia" w:ascii="宋体" w:hAnsi="宋体" w:eastAsia="宋体" w:cs="宋体"/>
          <w:b/>
          <w:bCs/>
          <w:lang w:val="en-US" w:eastAsia="zh-CN"/>
        </w:rPr>
        <w:t>3</w:t>
      </w:r>
      <w:r>
        <w:rPr>
          <w:rFonts w:hint="eastAsia" w:ascii="宋体" w:hAnsi="宋体" w:eastAsia="宋体" w:cs="宋体"/>
          <w:b/>
          <w:bCs/>
          <w:lang w:eastAsia="zh-CN"/>
        </w:rPr>
        <w:t>）</w:t>
      </w:r>
      <w:r>
        <w:rPr>
          <w:rFonts w:hint="eastAsia" w:ascii="宋体" w:hAnsi="宋体" w:eastAsia="宋体" w:cs="宋体"/>
          <w:b/>
          <w:bCs/>
        </w:rPr>
        <w:t>机械结构要求</w:t>
      </w:r>
    </w:p>
    <w:p w14:paraId="6A619472">
      <w:pPr>
        <w:pStyle w:val="3"/>
        <w:spacing w:before="0" w:line="360" w:lineRule="auto"/>
        <w:ind w:left="0" w:firstLine="480" w:firstLineChars="200"/>
        <w:rPr>
          <w:rFonts w:hint="eastAsia" w:ascii="宋体" w:hAnsi="宋体" w:eastAsia="宋体" w:cs="宋体"/>
        </w:rPr>
      </w:pPr>
      <w:r>
        <w:rPr>
          <w:rFonts w:hint="eastAsia" w:ascii="宋体" w:hAnsi="宋体" w:eastAsia="宋体" w:cs="宋体"/>
        </w:rPr>
        <w:t>参赛人员自主设计并制造无人机的机械部分，应方便拆装和更换。</w:t>
      </w:r>
    </w:p>
    <w:p w14:paraId="67A18A5B">
      <w:pPr>
        <w:pStyle w:val="3"/>
        <w:spacing w:before="0" w:line="360" w:lineRule="auto"/>
        <w:outlineLvl w:val="9"/>
        <w:rPr>
          <w:rFonts w:hint="eastAsia" w:ascii="宋体" w:hAnsi="宋体" w:eastAsia="宋体" w:cs="宋体"/>
          <w:b/>
          <w:bCs/>
        </w:rPr>
      </w:pPr>
      <w:r>
        <w:rPr>
          <w:rFonts w:hint="eastAsia" w:ascii="宋体" w:hAnsi="宋体" w:eastAsia="宋体" w:cs="宋体"/>
          <w:b/>
          <w:bCs/>
          <w:lang w:eastAsia="zh-CN"/>
        </w:rPr>
        <w:t>（</w:t>
      </w:r>
      <w:r>
        <w:rPr>
          <w:rFonts w:hint="eastAsia" w:ascii="宋体" w:hAnsi="宋体" w:eastAsia="宋体" w:cs="宋体"/>
          <w:b/>
          <w:bCs/>
          <w:lang w:val="en-US" w:eastAsia="zh-CN"/>
        </w:rPr>
        <w:t>4</w:t>
      </w:r>
      <w:r>
        <w:rPr>
          <w:rFonts w:hint="eastAsia" w:ascii="宋体" w:hAnsi="宋体" w:eastAsia="宋体" w:cs="宋体"/>
          <w:b/>
          <w:bCs/>
          <w:lang w:eastAsia="zh-CN"/>
        </w:rPr>
        <w:t>）</w:t>
      </w:r>
      <w:r>
        <w:rPr>
          <w:rFonts w:hint="eastAsia" w:ascii="宋体" w:hAnsi="宋体" w:eastAsia="宋体" w:cs="宋体"/>
          <w:b/>
          <w:bCs/>
        </w:rPr>
        <w:t>尺寸要求</w:t>
      </w:r>
    </w:p>
    <w:p w14:paraId="0F399A0E">
      <w:pPr>
        <w:pStyle w:val="3"/>
        <w:spacing w:before="0" w:line="360" w:lineRule="auto"/>
        <w:ind w:firstLine="480" w:firstLineChars="200"/>
        <w:rPr>
          <w:rFonts w:hint="eastAsia" w:ascii="宋体" w:hAnsi="宋体" w:eastAsia="宋体" w:cs="宋体"/>
        </w:rPr>
      </w:pPr>
      <w:r>
        <w:rPr>
          <w:rFonts w:hint="eastAsia" w:ascii="宋体" w:hAnsi="宋体" w:eastAsia="宋体" w:cs="宋体"/>
        </w:rPr>
        <w:t>参赛的无人机对角线方向旋翼转轴间距 L 尺寸要求为：300mm≤L≤</w:t>
      </w:r>
      <w:r>
        <w:rPr>
          <w:rFonts w:hint="eastAsia" w:ascii="宋体" w:hAnsi="宋体" w:eastAsia="宋体" w:cs="宋体"/>
          <w:lang w:val="en-US" w:eastAsia="zh-CN"/>
        </w:rPr>
        <w:t>5</w:t>
      </w:r>
      <w:r>
        <w:rPr>
          <w:rFonts w:hint="eastAsia" w:ascii="宋体" w:hAnsi="宋体" w:eastAsia="宋体" w:cs="宋体"/>
        </w:rPr>
        <w:t>00mm</w:t>
      </w:r>
    </w:p>
    <w:p w14:paraId="79BA4BE1">
      <w:pPr>
        <w:pStyle w:val="3"/>
        <w:spacing w:before="0" w:line="360" w:lineRule="auto"/>
        <w:ind w:left="0" w:right="0" w:firstLine="480" w:firstLineChars="200"/>
        <w:rPr>
          <w:rFonts w:hint="eastAsia" w:ascii="宋体" w:hAnsi="宋体" w:eastAsia="宋体" w:cs="宋体"/>
        </w:rPr>
      </w:pPr>
      <w:r>
        <w:rPr>
          <w:rFonts w:hint="eastAsia" w:ascii="宋体" w:hAnsi="宋体" w:eastAsia="宋体" w:cs="宋体"/>
        </w:rPr>
        <w:t>如果不符合上述各项要求，取消比赛资格；若已经参赛，发现或投诉并情况属实取消比赛成绩。</w:t>
      </w:r>
    </w:p>
    <w:p w14:paraId="4391BCC5">
      <w:pPr>
        <w:pStyle w:val="3"/>
        <w:spacing w:before="0" w:line="360" w:lineRule="auto"/>
        <w:outlineLvl w:val="9"/>
        <w:rPr>
          <w:rFonts w:hint="eastAsia" w:ascii="黑体" w:hAnsi="黑体" w:eastAsia="黑体" w:cs="黑体"/>
          <w:b/>
          <w:bCs/>
          <w:sz w:val="28"/>
          <w:szCs w:val="28"/>
        </w:rPr>
      </w:pPr>
      <w:r>
        <w:rPr>
          <w:rFonts w:hint="eastAsia" w:ascii="黑体" w:hAnsi="黑体" w:eastAsia="黑体" w:cs="黑体"/>
          <w:b/>
          <w:bCs/>
          <w:sz w:val="28"/>
          <w:szCs w:val="28"/>
        </w:rPr>
        <w:t>2</w:t>
      </w:r>
      <w:r>
        <w:rPr>
          <w:rFonts w:hint="eastAsia" w:ascii="黑体" w:hAnsi="黑体" w:eastAsia="黑体" w:cs="黑体"/>
          <w:b/>
          <w:bCs/>
          <w:sz w:val="28"/>
          <w:szCs w:val="28"/>
          <w:lang w:val="en-US" w:eastAsia="zh-CN"/>
        </w:rPr>
        <w:t>.</w:t>
      </w:r>
      <w:r>
        <w:rPr>
          <w:rFonts w:hint="eastAsia" w:ascii="黑体" w:hAnsi="黑体" w:eastAsia="黑体" w:cs="黑体"/>
          <w:b/>
          <w:bCs/>
          <w:sz w:val="28"/>
          <w:szCs w:val="28"/>
        </w:rPr>
        <w:t>赛程安排</w:t>
      </w:r>
    </w:p>
    <w:p w14:paraId="6F39CD99">
      <w:pPr>
        <w:tabs>
          <w:tab w:val="left" w:pos="1620"/>
        </w:tabs>
        <w:spacing w:after="0" w:line="360" w:lineRule="auto"/>
        <w:ind w:left="-2" w:leftChars="-1" w:firstLine="480" w:firstLineChars="200"/>
        <w:jc w:val="both"/>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en-US" w:bidi="ar-SA"/>
        </w:rPr>
        <w:t>智能低空消防赛项</w:t>
      </w:r>
      <w:r>
        <w:rPr>
          <w:rFonts w:hint="eastAsia" w:ascii="宋体" w:hAnsi="宋体" w:eastAsia="宋体" w:cs="宋体"/>
          <w:snapToGrid w:val="0"/>
          <w:color w:val="000000"/>
          <w:kern w:val="0"/>
          <w:sz w:val="24"/>
          <w:szCs w:val="24"/>
          <w:lang w:val="en-US" w:eastAsia="zh-CN" w:bidi="ar-SA"/>
        </w:rPr>
        <w:t>由复赛（作品说明书，运行视频），决赛（决赛第一阶段，决赛第二阶段）组成。</w:t>
      </w:r>
    </w:p>
    <w:p w14:paraId="179160B8">
      <w:pPr>
        <w:tabs>
          <w:tab w:val="left" w:pos="1620"/>
        </w:tabs>
        <w:spacing w:after="0" w:line="360" w:lineRule="auto"/>
        <w:ind w:left="-2" w:leftChars="-1" w:firstLine="480" w:firstLineChars="20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r>
        <w:rPr>
          <w:rFonts w:hint="eastAsia" w:cs="Times New Roman" w:asciiTheme="minorEastAsia" w:hAnsiTheme="minorEastAsia"/>
          <w:color w:val="000000" w:themeColor="text1"/>
          <w:kern w:val="2"/>
          <w:sz w:val="24"/>
          <w:szCs w:val="24"/>
          <w:lang w:eastAsia="zh-CN"/>
          <w14:textFill>
            <w14:solidFill>
              <w14:schemeClr w14:val="tx1"/>
            </w14:solidFill>
          </w14:textFill>
        </w:rPr>
        <w:t>复赛：参赛队按时按各赛项具体要求将参赛作品提交大赛组委会，竞赛组委会组织专家对参赛作品进行评审，评审出参加决赛的参赛队（入围决赛队伍数将根据复赛报名情况和总决赛现场容量限制确定）。（提交</w:t>
      </w:r>
      <w:r>
        <w:rPr>
          <w:rFonts w:hint="eastAsia" w:cs="Times New Roman" w:asciiTheme="minorEastAsia" w:hAnsiTheme="minorEastAsia"/>
          <w:color w:val="000000" w:themeColor="text1"/>
          <w:kern w:val="2"/>
          <w:sz w:val="24"/>
          <w:szCs w:val="24"/>
          <w:lang w:val="en-US" w:eastAsia="zh-CN"/>
          <w14:textFill>
            <w14:solidFill>
              <w14:schemeClr w14:val="tx1"/>
            </w14:solidFill>
          </w14:textFill>
        </w:rPr>
        <w:t>作品网站</w:t>
      </w:r>
      <w:r>
        <w:rPr>
          <w:rFonts w:hint="eastAsia" w:cs="Times New Roman" w:asciiTheme="minorEastAsia" w:hAnsiTheme="minorEastAsia"/>
          <w:color w:val="000000" w:themeColor="text1"/>
          <w:kern w:val="2"/>
          <w:sz w:val="24"/>
          <w:szCs w:val="24"/>
          <w:lang w:eastAsia="zh-CN"/>
          <w14:textFill>
            <w14:solidFill>
              <w14:schemeClr w14:val="tx1"/>
            </w14:solidFill>
          </w14:textFill>
        </w:rPr>
        <w:t>见后续通知）</w:t>
      </w:r>
    </w:p>
    <w:p w14:paraId="3F382951">
      <w:pPr>
        <w:tabs>
          <w:tab w:val="left" w:pos="1620"/>
        </w:tabs>
        <w:spacing w:after="0" w:line="360" w:lineRule="auto"/>
        <w:ind w:left="-2" w:leftChars="-1" w:firstLine="480" w:firstLineChars="200"/>
        <w:jc w:val="both"/>
        <w:rPr>
          <w:rFonts w:hint="eastAsia" w:cs="Times New Roman" w:asciiTheme="minorEastAsia" w:hAnsiTheme="minorEastAsia"/>
          <w:color w:val="000000" w:themeColor="text1"/>
          <w:kern w:val="2"/>
          <w:sz w:val="24"/>
          <w:szCs w:val="24"/>
          <w:lang w:eastAsia="zh-CN"/>
          <w14:textFill>
            <w14:solidFill>
              <w14:schemeClr w14:val="tx1"/>
            </w14:solidFill>
          </w14:textFill>
        </w:rPr>
      </w:pPr>
      <w:r>
        <w:rPr>
          <w:rFonts w:hint="eastAsia" w:cs="Times New Roman" w:asciiTheme="minorEastAsia" w:hAnsiTheme="minorEastAsia"/>
          <w:color w:val="000000" w:themeColor="text1"/>
          <w:kern w:val="2"/>
          <w:sz w:val="24"/>
          <w:szCs w:val="24"/>
          <w:lang w:eastAsia="zh-CN"/>
          <w14:textFill>
            <w14:solidFill>
              <w14:schemeClr w14:val="tx1"/>
            </w14:solidFill>
          </w14:textFill>
        </w:rPr>
        <w:t>决赛由</w:t>
      </w:r>
      <w:bookmarkStart w:id="0" w:name="OLE_LINK28"/>
      <w:r>
        <w:rPr>
          <w:rFonts w:hint="eastAsia" w:cs="Times New Roman" w:asciiTheme="minorEastAsia" w:hAnsiTheme="minorEastAsia"/>
          <w:color w:val="000000" w:themeColor="text1"/>
          <w:kern w:val="2"/>
          <w:sz w:val="24"/>
          <w:szCs w:val="24"/>
          <w:lang w:eastAsia="zh-CN"/>
          <w14:textFill>
            <w14:solidFill>
              <w14:schemeClr w14:val="tx1"/>
            </w14:solidFill>
          </w14:textFill>
        </w:rPr>
        <w:t>决赛第一阶段</w:t>
      </w:r>
      <w:bookmarkEnd w:id="0"/>
      <w:r>
        <w:rPr>
          <w:rFonts w:hint="eastAsia" w:cs="Times New Roman" w:asciiTheme="minorEastAsia" w:hAnsiTheme="minorEastAsia"/>
          <w:color w:val="000000" w:themeColor="text1"/>
          <w:kern w:val="2"/>
          <w:sz w:val="24"/>
          <w:szCs w:val="24"/>
          <w:lang w:eastAsia="zh-CN"/>
          <w14:textFill>
            <w14:solidFill>
              <w14:schemeClr w14:val="tx1"/>
            </w14:solidFill>
          </w14:textFill>
        </w:rPr>
        <w:t>和决赛第二阶段组成。</w:t>
      </w:r>
      <w:r>
        <w:rPr>
          <w:rFonts w:hint="eastAsia" w:cs="Times New Roman" w:asciiTheme="minorEastAsia" w:hAnsiTheme="minorEastAsia"/>
          <w:color w:val="000000" w:themeColor="text1"/>
          <w:kern w:val="2"/>
          <w:sz w:val="24"/>
          <w:szCs w:val="24"/>
          <w:highlight w:val="none"/>
          <w:lang w:eastAsia="zh-CN"/>
          <w14:textFill>
            <w14:solidFill>
              <w14:schemeClr w14:val="tx1"/>
            </w14:solidFill>
          </w14:textFill>
        </w:rPr>
        <w:t>决赛第一阶段由</w:t>
      </w:r>
      <w:r>
        <w:rPr>
          <w:rFonts w:hint="eastAsia" w:cs="Times New Roman" w:asciiTheme="minorEastAsia" w:hAnsiTheme="minorEastAsia"/>
          <w:color w:val="000000" w:themeColor="text1"/>
          <w:kern w:val="2"/>
          <w:sz w:val="24"/>
          <w:szCs w:val="24"/>
          <w:lang w:eastAsia="zh-CN"/>
          <w14:textFill>
            <w14:solidFill>
              <w14:schemeClr w14:val="tx1"/>
            </w14:solidFill>
          </w14:textFill>
        </w:rPr>
        <w:t>作品说明书和现场</w:t>
      </w:r>
      <w:r>
        <w:rPr>
          <w:rFonts w:hint="eastAsia" w:cs="Times New Roman" w:asciiTheme="minorEastAsia" w:hAnsiTheme="minorEastAsia"/>
          <w:color w:val="000000" w:themeColor="text1"/>
          <w:kern w:val="2"/>
          <w:sz w:val="24"/>
          <w:szCs w:val="24"/>
          <w:lang w:val="en-US" w:eastAsia="zh-CN"/>
          <w14:textFill>
            <w14:solidFill>
              <w14:schemeClr w14:val="tx1"/>
            </w14:solidFill>
          </w14:textFill>
        </w:rPr>
        <w:t>比赛两</w:t>
      </w:r>
      <w:r>
        <w:rPr>
          <w:rFonts w:hint="eastAsia" w:cs="Times New Roman" w:asciiTheme="minorEastAsia" w:hAnsiTheme="minorEastAsia"/>
          <w:color w:val="000000" w:themeColor="text1"/>
          <w:kern w:val="2"/>
          <w:sz w:val="24"/>
          <w:szCs w:val="24"/>
          <w:lang w:eastAsia="zh-CN"/>
          <w14:textFill>
            <w14:solidFill>
              <w14:schemeClr w14:val="tx1"/>
            </w14:solidFill>
          </w14:textFill>
        </w:rPr>
        <w:t>个环节组成。根据决赛第一阶段成绩及晋级比例确定晋级现场决赛第二阶段的参赛队，决赛第一阶段成绩不带入决赛第二阶段。决赛第二阶段由现场</w:t>
      </w:r>
      <w:r>
        <w:rPr>
          <w:rFonts w:hint="eastAsia" w:cs="Times New Roman" w:asciiTheme="minorEastAsia" w:hAnsiTheme="minorEastAsia"/>
          <w:color w:val="000000" w:themeColor="text1"/>
          <w:kern w:val="2"/>
          <w:sz w:val="24"/>
          <w:szCs w:val="24"/>
          <w:lang w:val="en-US" w:eastAsia="zh-CN"/>
          <w14:textFill>
            <w14:solidFill>
              <w14:schemeClr w14:val="tx1"/>
            </w14:solidFill>
          </w14:textFill>
        </w:rPr>
        <w:t>比</w:t>
      </w:r>
      <w:r>
        <w:rPr>
          <w:rFonts w:hint="eastAsia" w:cs="Times New Roman" w:asciiTheme="minorEastAsia" w:hAnsiTheme="minorEastAsia"/>
          <w:color w:val="000000" w:themeColor="text1"/>
          <w:kern w:val="2"/>
          <w:sz w:val="24"/>
          <w:szCs w:val="24"/>
          <w:lang w:eastAsia="zh-CN"/>
          <w14:textFill>
            <w14:solidFill>
              <w14:schemeClr w14:val="tx1"/>
            </w14:solidFill>
          </w14:textFill>
        </w:rPr>
        <w:t>赛</w:t>
      </w:r>
      <w:r>
        <w:rPr>
          <w:rFonts w:hint="eastAsia" w:cs="Times New Roman" w:asciiTheme="minorEastAsia" w:hAnsiTheme="minorEastAsia"/>
          <w:color w:val="000000" w:themeColor="text1"/>
          <w:kern w:val="2"/>
          <w:sz w:val="24"/>
          <w:szCs w:val="24"/>
          <w:lang w:val="en-US" w:eastAsia="zh-CN"/>
          <w14:textFill>
            <w14:solidFill>
              <w14:schemeClr w14:val="tx1"/>
            </w14:solidFill>
          </w14:textFill>
        </w:rPr>
        <w:t>一</w:t>
      </w:r>
      <w:r>
        <w:rPr>
          <w:rFonts w:hint="eastAsia" w:cs="Times New Roman" w:asciiTheme="minorEastAsia" w:hAnsiTheme="minorEastAsia"/>
          <w:color w:val="000000" w:themeColor="text1"/>
          <w:kern w:val="2"/>
          <w:sz w:val="24"/>
          <w:szCs w:val="24"/>
          <w:lang w:eastAsia="zh-CN"/>
          <w14:textFill>
            <w14:solidFill>
              <w14:schemeClr w14:val="tx1"/>
            </w14:solidFill>
          </w14:textFill>
        </w:rPr>
        <w:t>个环节组成。各竞赛环节和分数如表1所示。</w:t>
      </w:r>
    </w:p>
    <w:p w14:paraId="44BD21BB">
      <w:pPr>
        <w:pStyle w:val="3"/>
        <w:spacing w:before="0" w:line="360" w:lineRule="auto"/>
        <w:ind w:left="0" w:firstLine="462" w:firstLineChars="200"/>
        <w:rPr>
          <w:b/>
          <w:bCs/>
          <w:color w:val="auto"/>
          <w:spacing w:val="-5"/>
          <w:szCs w:val="21"/>
        </w:rPr>
      </w:pPr>
    </w:p>
    <w:p w14:paraId="4F83FD54">
      <w:pPr>
        <w:pStyle w:val="3"/>
        <w:spacing w:line="220" w:lineRule="auto"/>
        <w:ind w:left="2783"/>
        <w:outlineLvl w:val="0"/>
        <w:rPr>
          <w:rFonts w:hint="default" w:eastAsia="宋体"/>
          <w:b/>
          <w:bCs/>
          <w:color w:val="auto"/>
          <w:sz w:val="21"/>
          <w:szCs w:val="21"/>
          <w:lang w:val="en-US" w:eastAsia="zh-CN"/>
        </w:rPr>
      </w:pPr>
      <w:r>
        <w:rPr>
          <w:b/>
          <w:bCs/>
          <w:color w:val="auto"/>
          <w:spacing w:val="-5"/>
          <w:sz w:val="21"/>
          <w:szCs w:val="21"/>
        </w:rPr>
        <w:t>表</w:t>
      </w:r>
      <w:r>
        <w:rPr>
          <w:b/>
          <w:bCs/>
          <w:color w:val="auto"/>
          <w:spacing w:val="-19"/>
          <w:sz w:val="21"/>
          <w:szCs w:val="21"/>
        </w:rPr>
        <w:t xml:space="preserve"> </w:t>
      </w:r>
      <w:r>
        <w:rPr>
          <w:b/>
          <w:bCs/>
          <w:color w:val="auto"/>
          <w:spacing w:val="-5"/>
          <w:sz w:val="21"/>
          <w:szCs w:val="21"/>
        </w:rPr>
        <w:t>1 智能低空消防赛项各环节</w:t>
      </w:r>
      <w:r>
        <w:rPr>
          <w:rFonts w:hint="eastAsia"/>
          <w:b/>
          <w:bCs/>
          <w:color w:val="auto"/>
          <w:spacing w:val="-5"/>
          <w:sz w:val="21"/>
          <w:szCs w:val="21"/>
          <w:lang w:val="en-US" w:eastAsia="zh-CN"/>
        </w:rPr>
        <w:t>和分数</w:t>
      </w:r>
    </w:p>
    <w:p w14:paraId="2DFDA778">
      <w:pPr>
        <w:spacing w:line="128" w:lineRule="exact"/>
        <w:rPr>
          <w:b w:val="0"/>
          <w:bCs w:val="0"/>
        </w:rPr>
      </w:pPr>
    </w:p>
    <w:tbl>
      <w:tblPr>
        <w:tblStyle w:val="6"/>
        <w:tblW w:w="769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6"/>
        <w:gridCol w:w="1365"/>
        <w:gridCol w:w="1613"/>
        <w:gridCol w:w="938"/>
        <w:gridCol w:w="1291"/>
        <w:gridCol w:w="1755"/>
      </w:tblGrid>
      <w:tr w14:paraId="112F3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jc w:val="center"/>
        </w:trPr>
        <w:tc>
          <w:tcPr>
            <w:tcW w:w="736" w:type="dxa"/>
            <w:tcBorders>
              <w:left w:val="single" w:color="000000" w:sz="2" w:space="0"/>
              <w:bottom w:val="single" w:color="000000" w:sz="2" w:space="0"/>
              <w:right w:val="single" w:color="000000" w:sz="2" w:space="0"/>
            </w:tcBorders>
            <w:vAlign w:val="top"/>
          </w:tcPr>
          <w:p w14:paraId="43E2AE2C">
            <w:pPr>
              <w:spacing w:before="132" w:line="222" w:lineRule="auto"/>
              <w:ind w:left="0"/>
              <w:jc w:val="center"/>
              <w:rPr>
                <w:rFonts w:ascii="宋体" w:hAnsi="宋体" w:eastAsia="宋体" w:cs="宋体"/>
                <w:b/>
                <w:bCs/>
                <w:color w:val="auto"/>
                <w:sz w:val="21"/>
                <w:szCs w:val="21"/>
              </w:rPr>
            </w:pPr>
            <w:r>
              <w:rPr>
                <w:rFonts w:ascii="宋体" w:hAnsi="宋体" w:eastAsia="宋体" w:cs="宋体"/>
                <w:b/>
                <w:bCs/>
                <w:color w:val="auto"/>
                <w:spacing w:val="-5"/>
                <w:sz w:val="21"/>
                <w:szCs w:val="21"/>
              </w:rPr>
              <w:t>序号</w:t>
            </w:r>
          </w:p>
        </w:tc>
        <w:tc>
          <w:tcPr>
            <w:tcW w:w="1365" w:type="dxa"/>
            <w:tcBorders>
              <w:left w:val="single" w:color="000000" w:sz="2" w:space="0"/>
              <w:bottom w:val="single" w:color="000000" w:sz="2" w:space="0"/>
              <w:right w:val="single" w:color="000000" w:sz="2" w:space="0"/>
            </w:tcBorders>
            <w:vAlign w:val="top"/>
          </w:tcPr>
          <w:p w14:paraId="4B45682A">
            <w:pPr>
              <w:spacing w:before="132" w:line="221" w:lineRule="auto"/>
              <w:ind w:left="0"/>
              <w:jc w:val="center"/>
              <w:rPr>
                <w:rFonts w:ascii="宋体" w:hAnsi="宋体" w:eastAsia="宋体" w:cs="宋体"/>
                <w:b/>
                <w:bCs/>
                <w:color w:val="auto"/>
                <w:sz w:val="21"/>
                <w:szCs w:val="21"/>
              </w:rPr>
            </w:pPr>
            <w:r>
              <w:rPr>
                <w:rFonts w:ascii="宋体" w:hAnsi="宋体" w:eastAsia="宋体" w:cs="宋体"/>
                <w:b/>
                <w:bCs/>
                <w:color w:val="auto"/>
                <w:spacing w:val="-6"/>
                <w:sz w:val="21"/>
                <w:szCs w:val="21"/>
              </w:rPr>
              <w:t>环节</w:t>
            </w:r>
          </w:p>
        </w:tc>
        <w:tc>
          <w:tcPr>
            <w:tcW w:w="1613" w:type="dxa"/>
            <w:tcBorders>
              <w:left w:val="single" w:color="000000" w:sz="2" w:space="0"/>
              <w:bottom w:val="single" w:color="000000" w:sz="2" w:space="0"/>
              <w:right w:val="single" w:color="000000" w:sz="2" w:space="0"/>
            </w:tcBorders>
            <w:vAlign w:val="top"/>
          </w:tcPr>
          <w:p w14:paraId="73CE3CC7">
            <w:pPr>
              <w:spacing w:before="133" w:line="220" w:lineRule="auto"/>
              <w:ind w:left="0"/>
              <w:jc w:val="center"/>
              <w:rPr>
                <w:rFonts w:hint="eastAsia" w:ascii="宋体" w:hAnsi="宋体" w:eastAsia="宋体" w:cs="宋体"/>
                <w:b/>
                <w:bCs/>
                <w:color w:val="auto"/>
                <w:sz w:val="21"/>
                <w:szCs w:val="21"/>
                <w:lang w:eastAsia="zh-CN"/>
              </w:rPr>
            </w:pPr>
            <w:r>
              <w:rPr>
                <w:rFonts w:hint="eastAsia" w:ascii="宋体" w:hAnsi="宋体" w:eastAsia="宋体" w:cs="宋体"/>
                <w:b/>
                <w:bCs/>
                <w:color w:val="auto"/>
                <w:spacing w:val="-2"/>
                <w:sz w:val="21"/>
                <w:szCs w:val="21"/>
                <w:lang w:val="en-US" w:eastAsia="zh-CN"/>
              </w:rPr>
              <w:t>赛程</w:t>
            </w:r>
          </w:p>
        </w:tc>
        <w:tc>
          <w:tcPr>
            <w:tcW w:w="2229" w:type="dxa"/>
            <w:gridSpan w:val="2"/>
            <w:tcBorders>
              <w:left w:val="single" w:color="000000" w:sz="2" w:space="0"/>
              <w:bottom w:val="single" w:color="000000" w:sz="2" w:space="0"/>
              <w:right w:val="single" w:color="000000" w:sz="2" w:space="0"/>
            </w:tcBorders>
            <w:vAlign w:val="top"/>
          </w:tcPr>
          <w:p w14:paraId="02B0A77B">
            <w:pPr>
              <w:spacing w:before="133" w:line="220" w:lineRule="auto"/>
              <w:ind w:left="0"/>
              <w:jc w:val="center"/>
              <w:rPr>
                <w:rFonts w:hint="eastAsia" w:ascii="宋体" w:hAnsi="宋体" w:eastAsia="宋体" w:cs="宋体"/>
                <w:b/>
                <w:bCs/>
                <w:color w:val="auto"/>
                <w:spacing w:val="-2"/>
                <w:sz w:val="21"/>
                <w:szCs w:val="21"/>
                <w:lang w:val="en-US" w:eastAsia="zh-CN"/>
              </w:rPr>
            </w:pPr>
            <w:r>
              <w:rPr>
                <w:rFonts w:hint="eastAsia" w:ascii="宋体" w:hAnsi="宋体" w:eastAsia="宋体" w:cs="宋体"/>
                <w:b/>
                <w:bCs/>
                <w:color w:val="auto"/>
                <w:spacing w:val="-2"/>
                <w:sz w:val="21"/>
                <w:szCs w:val="21"/>
                <w:lang w:val="en-US" w:eastAsia="zh-CN"/>
              </w:rPr>
              <w:t>内容</w:t>
            </w:r>
          </w:p>
        </w:tc>
        <w:tc>
          <w:tcPr>
            <w:tcW w:w="1755" w:type="dxa"/>
            <w:tcBorders>
              <w:left w:val="single" w:color="000000" w:sz="2" w:space="0"/>
              <w:bottom w:val="single" w:color="000000" w:sz="2" w:space="0"/>
            </w:tcBorders>
            <w:vAlign w:val="top"/>
          </w:tcPr>
          <w:p w14:paraId="21150870">
            <w:pPr>
              <w:spacing w:before="133" w:line="220" w:lineRule="auto"/>
              <w:ind w:left="0"/>
              <w:jc w:val="center"/>
              <w:rPr>
                <w:rFonts w:ascii="宋体" w:hAnsi="宋体" w:eastAsia="宋体" w:cs="宋体"/>
                <w:b/>
                <w:bCs/>
                <w:color w:val="auto"/>
                <w:spacing w:val="-2"/>
                <w:sz w:val="21"/>
                <w:szCs w:val="21"/>
              </w:rPr>
            </w:pPr>
            <w:r>
              <w:rPr>
                <w:rFonts w:hint="eastAsia" w:ascii="宋体" w:hAnsi="宋体" w:eastAsia="宋体" w:cs="宋体"/>
                <w:b/>
                <w:bCs/>
                <w:color w:val="auto"/>
                <w:spacing w:val="-2"/>
                <w:sz w:val="21"/>
                <w:szCs w:val="21"/>
              </w:rPr>
              <w:t>分数</w:t>
            </w:r>
          </w:p>
        </w:tc>
      </w:tr>
      <w:tr w14:paraId="45491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3" w:hRule="atLeast"/>
          <w:jc w:val="center"/>
        </w:trPr>
        <w:tc>
          <w:tcPr>
            <w:tcW w:w="736" w:type="dxa"/>
            <w:tcBorders>
              <w:top w:val="single" w:color="000000" w:sz="2" w:space="0"/>
              <w:left w:val="single" w:color="000000" w:sz="2" w:space="0"/>
              <w:bottom w:val="single" w:color="000000" w:sz="2" w:space="0"/>
              <w:right w:val="single" w:color="000000" w:sz="2" w:space="0"/>
            </w:tcBorders>
            <w:vAlign w:val="top"/>
          </w:tcPr>
          <w:p w14:paraId="5867ED09">
            <w:pPr>
              <w:spacing w:before="119" w:line="242" w:lineRule="auto"/>
              <w:ind w:left="0"/>
              <w:jc w:val="center"/>
              <w:rPr>
                <w:rFonts w:ascii="宋体" w:hAnsi="宋体" w:eastAsia="宋体" w:cs="宋体"/>
                <w:b w:val="0"/>
                <w:bCs w:val="0"/>
                <w:color w:val="auto"/>
                <w:sz w:val="21"/>
                <w:szCs w:val="21"/>
              </w:rPr>
            </w:pPr>
            <w:r>
              <w:rPr>
                <w:rFonts w:ascii="宋体" w:hAnsi="宋体" w:eastAsia="宋体" w:cs="宋体"/>
                <w:b w:val="0"/>
                <w:bCs w:val="0"/>
                <w:color w:val="auto"/>
                <w:spacing w:val="-3"/>
                <w:sz w:val="21"/>
                <w:szCs w:val="21"/>
              </w:rPr>
              <w:t>1</w:t>
            </w:r>
          </w:p>
        </w:tc>
        <w:tc>
          <w:tcPr>
            <w:tcW w:w="1365" w:type="dxa"/>
            <w:tcBorders>
              <w:top w:val="single" w:color="000000" w:sz="2" w:space="0"/>
              <w:left w:val="single" w:color="000000" w:sz="2" w:space="0"/>
              <w:bottom w:val="single" w:color="000000" w:sz="2" w:space="0"/>
              <w:right w:val="single" w:color="000000" w:sz="2" w:space="0"/>
            </w:tcBorders>
            <w:vAlign w:val="top"/>
          </w:tcPr>
          <w:p w14:paraId="31C19B03">
            <w:pPr>
              <w:spacing w:before="119" w:line="220" w:lineRule="auto"/>
              <w:ind w:left="0"/>
              <w:jc w:val="center"/>
              <w:rPr>
                <w:rFonts w:ascii="宋体" w:hAnsi="宋体" w:eastAsia="宋体" w:cs="宋体"/>
                <w:b w:val="0"/>
                <w:bCs w:val="0"/>
                <w:color w:val="auto"/>
                <w:sz w:val="21"/>
                <w:szCs w:val="21"/>
              </w:rPr>
            </w:pPr>
            <w:r>
              <w:rPr>
                <w:rFonts w:ascii="宋体" w:hAnsi="宋体" w:eastAsia="宋体" w:cs="宋体"/>
                <w:b w:val="0"/>
                <w:bCs w:val="0"/>
                <w:color w:val="auto"/>
                <w:spacing w:val="-4"/>
                <w:sz w:val="21"/>
                <w:szCs w:val="21"/>
              </w:rPr>
              <w:t>第一环节</w:t>
            </w:r>
          </w:p>
        </w:tc>
        <w:tc>
          <w:tcPr>
            <w:tcW w:w="1613" w:type="dxa"/>
            <w:vMerge w:val="restart"/>
            <w:tcBorders>
              <w:top w:val="single" w:color="000000" w:sz="2" w:space="0"/>
              <w:left w:val="single" w:color="000000" w:sz="2" w:space="0"/>
              <w:bottom w:val="single" w:color="000000" w:sz="2" w:space="0"/>
              <w:right w:val="single" w:color="000000" w:sz="2" w:space="0"/>
            </w:tcBorders>
            <w:vAlign w:val="center"/>
          </w:tcPr>
          <w:p w14:paraId="3ACF2105">
            <w:pPr>
              <w:spacing w:before="123" w:line="221" w:lineRule="auto"/>
              <w:ind w:left="0"/>
              <w:jc w:val="center"/>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pacing w:val="-3"/>
                <w:sz w:val="21"/>
                <w:szCs w:val="21"/>
                <w:lang w:val="en-US" w:eastAsia="zh-CN"/>
              </w:rPr>
              <w:t>复赛</w:t>
            </w:r>
          </w:p>
        </w:tc>
        <w:tc>
          <w:tcPr>
            <w:tcW w:w="2229" w:type="dxa"/>
            <w:gridSpan w:val="2"/>
            <w:tcBorders>
              <w:top w:val="single" w:color="000000" w:sz="2" w:space="0"/>
              <w:left w:val="single" w:color="000000" w:sz="2" w:space="0"/>
              <w:bottom w:val="single" w:color="000000" w:sz="2" w:space="0"/>
              <w:right w:val="single" w:color="000000" w:sz="2" w:space="0"/>
            </w:tcBorders>
            <w:vAlign w:val="top"/>
          </w:tcPr>
          <w:p w14:paraId="172E6902">
            <w:pPr>
              <w:spacing w:before="119" w:line="220" w:lineRule="auto"/>
              <w:ind w:left="0"/>
              <w:jc w:val="center"/>
              <w:rPr>
                <w:rFonts w:hint="default" w:ascii="宋体" w:hAnsi="宋体" w:eastAsia="宋体" w:cs="宋体"/>
                <w:b w:val="0"/>
                <w:bCs w:val="0"/>
                <w:color w:val="auto"/>
                <w:spacing w:val="-3"/>
                <w:sz w:val="21"/>
                <w:szCs w:val="21"/>
                <w:lang w:val="en-US" w:eastAsia="zh-CN"/>
              </w:rPr>
            </w:pPr>
            <w:r>
              <w:rPr>
                <w:rFonts w:hint="eastAsia" w:ascii="宋体" w:hAnsi="宋体" w:eastAsia="宋体" w:cs="宋体"/>
                <w:b w:val="0"/>
                <w:bCs w:val="0"/>
                <w:color w:val="auto"/>
                <w:spacing w:val="-3"/>
                <w:sz w:val="21"/>
                <w:szCs w:val="21"/>
                <w:lang w:val="en-US" w:eastAsia="zh-CN"/>
              </w:rPr>
              <w:t>作品说明书</w:t>
            </w:r>
          </w:p>
        </w:tc>
        <w:tc>
          <w:tcPr>
            <w:tcW w:w="1755" w:type="dxa"/>
            <w:tcBorders>
              <w:top w:val="single" w:color="000000" w:sz="2" w:space="0"/>
              <w:left w:val="single" w:color="000000" w:sz="2" w:space="0"/>
              <w:bottom w:val="single" w:color="000000" w:sz="2" w:space="0"/>
            </w:tcBorders>
            <w:vAlign w:val="top"/>
          </w:tcPr>
          <w:p w14:paraId="3547AA03">
            <w:pPr>
              <w:spacing w:before="119" w:line="220" w:lineRule="auto"/>
              <w:ind w:left="0"/>
              <w:jc w:val="center"/>
              <w:rPr>
                <w:rFonts w:hint="default" w:ascii="宋体" w:hAnsi="宋体" w:eastAsia="宋体" w:cs="宋体"/>
                <w:b w:val="0"/>
                <w:bCs w:val="0"/>
                <w:color w:val="auto"/>
                <w:spacing w:val="-3"/>
                <w:sz w:val="21"/>
                <w:szCs w:val="21"/>
                <w:lang w:val="en-US" w:eastAsia="zh-CN"/>
              </w:rPr>
            </w:pPr>
            <w:r>
              <w:rPr>
                <w:rFonts w:hint="eastAsia" w:ascii="宋体" w:hAnsi="宋体" w:eastAsia="宋体" w:cs="宋体"/>
                <w:b w:val="0"/>
                <w:bCs w:val="0"/>
                <w:color w:val="auto"/>
                <w:spacing w:val="-3"/>
                <w:sz w:val="21"/>
                <w:szCs w:val="21"/>
                <w:lang w:val="en-US" w:eastAsia="zh-CN"/>
              </w:rPr>
              <w:t>30</w:t>
            </w:r>
          </w:p>
        </w:tc>
      </w:tr>
      <w:tr w14:paraId="0489E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3" w:hRule="atLeast"/>
          <w:jc w:val="center"/>
        </w:trPr>
        <w:tc>
          <w:tcPr>
            <w:tcW w:w="736" w:type="dxa"/>
            <w:tcBorders>
              <w:top w:val="single" w:color="000000" w:sz="2" w:space="0"/>
              <w:left w:val="single" w:color="000000" w:sz="2" w:space="0"/>
              <w:bottom w:val="single" w:color="000000" w:sz="2" w:space="0"/>
              <w:right w:val="single" w:color="000000" w:sz="2" w:space="0"/>
            </w:tcBorders>
            <w:vAlign w:val="top"/>
          </w:tcPr>
          <w:p w14:paraId="71D259CC">
            <w:pPr>
              <w:spacing w:before="123" w:line="242" w:lineRule="auto"/>
              <w:ind w:left="0"/>
              <w:jc w:val="center"/>
              <w:rPr>
                <w:rFonts w:ascii="宋体" w:hAnsi="宋体" w:eastAsia="宋体" w:cs="宋体"/>
                <w:b w:val="0"/>
                <w:bCs w:val="0"/>
                <w:color w:val="auto"/>
                <w:sz w:val="21"/>
                <w:szCs w:val="21"/>
              </w:rPr>
            </w:pPr>
            <w:r>
              <w:rPr>
                <w:rFonts w:ascii="宋体" w:hAnsi="宋体" w:eastAsia="宋体" w:cs="宋体"/>
                <w:b w:val="0"/>
                <w:bCs w:val="0"/>
                <w:color w:val="auto"/>
                <w:spacing w:val="-3"/>
                <w:sz w:val="21"/>
                <w:szCs w:val="21"/>
              </w:rPr>
              <w:t>2</w:t>
            </w:r>
          </w:p>
        </w:tc>
        <w:tc>
          <w:tcPr>
            <w:tcW w:w="1365" w:type="dxa"/>
            <w:tcBorders>
              <w:top w:val="single" w:color="000000" w:sz="2" w:space="0"/>
              <w:left w:val="single" w:color="000000" w:sz="2" w:space="0"/>
              <w:bottom w:val="single" w:color="000000" w:sz="2" w:space="0"/>
              <w:right w:val="single" w:color="000000" w:sz="2" w:space="0"/>
            </w:tcBorders>
            <w:vAlign w:val="top"/>
          </w:tcPr>
          <w:p w14:paraId="4655902D">
            <w:pPr>
              <w:spacing w:before="123" w:line="220" w:lineRule="auto"/>
              <w:ind w:left="0"/>
              <w:jc w:val="center"/>
              <w:rPr>
                <w:rFonts w:ascii="宋体" w:hAnsi="宋体" w:eastAsia="宋体" w:cs="宋体"/>
                <w:b w:val="0"/>
                <w:bCs w:val="0"/>
                <w:color w:val="auto"/>
                <w:sz w:val="21"/>
                <w:szCs w:val="21"/>
              </w:rPr>
            </w:pPr>
            <w:r>
              <w:rPr>
                <w:rFonts w:ascii="宋体" w:hAnsi="宋体" w:eastAsia="宋体" w:cs="宋体"/>
                <w:b w:val="0"/>
                <w:bCs w:val="0"/>
                <w:color w:val="auto"/>
                <w:spacing w:val="-4"/>
                <w:sz w:val="21"/>
                <w:szCs w:val="21"/>
              </w:rPr>
              <w:t>第二环节</w:t>
            </w:r>
          </w:p>
        </w:tc>
        <w:tc>
          <w:tcPr>
            <w:tcW w:w="1613" w:type="dxa"/>
            <w:vMerge w:val="continue"/>
            <w:tcBorders>
              <w:top w:val="single" w:color="000000" w:sz="2" w:space="0"/>
              <w:left w:val="single" w:color="000000" w:sz="2" w:space="0"/>
              <w:bottom w:val="single" w:color="000000" w:sz="2" w:space="0"/>
              <w:right w:val="single" w:color="000000" w:sz="2" w:space="0"/>
            </w:tcBorders>
            <w:vAlign w:val="top"/>
          </w:tcPr>
          <w:p w14:paraId="15133B34">
            <w:pPr>
              <w:spacing w:before="123" w:line="221" w:lineRule="auto"/>
              <w:ind w:left="0"/>
              <w:jc w:val="center"/>
              <w:rPr>
                <w:rFonts w:ascii="宋体" w:hAnsi="宋体" w:eastAsia="宋体" w:cs="宋体"/>
                <w:b w:val="0"/>
                <w:bCs w:val="0"/>
                <w:color w:val="auto"/>
                <w:sz w:val="21"/>
                <w:szCs w:val="21"/>
              </w:rPr>
            </w:pPr>
          </w:p>
        </w:tc>
        <w:tc>
          <w:tcPr>
            <w:tcW w:w="2229" w:type="dxa"/>
            <w:gridSpan w:val="2"/>
            <w:tcBorders>
              <w:top w:val="single" w:color="000000" w:sz="2" w:space="0"/>
              <w:left w:val="single" w:color="000000" w:sz="2" w:space="0"/>
              <w:bottom w:val="single" w:color="000000" w:sz="2" w:space="0"/>
              <w:right w:val="single" w:color="000000" w:sz="2" w:space="0"/>
            </w:tcBorders>
            <w:vAlign w:val="top"/>
          </w:tcPr>
          <w:p w14:paraId="19CE17DD">
            <w:pPr>
              <w:spacing w:before="123" w:line="221" w:lineRule="auto"/>
              <w:ind w:left="0"/>
              <w:jc w:val="center"/>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lang w:val="en-US" w:eastAsia="zh-CN"/>
              </w:rPr>
              <w:t>运行视频</w:t>
            </w:r>
          </w:p>
        </w:tc>
        <w:tc>
          <w:tcPr>
            <w:tcW w:w="1755" w:type="dxa"/>
            <w:tcBorders>
              <w:top w:val="single" w:color="000000" w:sz="2" w:space="0"/>
              <w:left w:val="single" w:color="000000" w:sz="2" w:space="0"/>
              <w:bottom w:val="single" w:color="000000" w:sz="2" w:space="0"/>
            </w:tcBorders>
            <w:vAlign w:val="top"/>
          </w:tcPr>
          <w:p w14:paraId="3A62AE15">
            <w:pPr>
              <w:spacing w:before="123" w:line="221" w:lineRule="auto"/>
              <w:ind w:left="0"/>
              <w:jc w:val="center"/>
              <w:rPr>
                <w:rFonts w:hint="default"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lang w:val="en-US" w:eastAsia="zh-CN"/>
              </w:rPr>
              <w:t>70</w:t>
            </w:r>
          </w:p>
        </w:tc>
      </w:tr>
      <w:tr w14:paraId="4EE56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jc w:val="center"/>
        </w:trPr>
        <w:tc>
          <w:tcPr>
            <w:tcW w:w="5943" w:type="dxa"/>
            <w:gridSpan w:val="5"/>
            <w:tcBorders>
              <w:top w:val="single" w:color="000000" w:sz="2" w:space="0"/>
              <w:left w:val="single" w:color="000000" w:sz="2" w:space="0"/>
              <w:bottom w:val="single" w:color="000000" w:sz="2" w:space="0"/>
              <w:right w:val="single" w:color="000000" w:sz="2" w:space="0"/>
            </w:tcBorders>
            <w:vAlign w:val="top"/>
          </w:tcPr>
          <w:p w14:paraId="23715A97">
            <w:pPr>
              <w:spacing w:before="132" w:line="220" w:lineRule="auto"/>
              <w:ind w:left="163"/>
              <w:jc w:val="center"/>
              <w:rPr>
                <w:rFonts w:ascii="宋体" w:hAnsi="宋体" w:eastAsia="宋体" w:cs="宋体"/>
                <w:b w:val="0"/>
                <w:bCs w:val="0"/>
                <w:color w:val="auto"/>
                <w:spacing w:val="-4"/>
                <w:sz w:val="21"/>
                <w:szCs w:val="21"/>
              </w:rPr>
            </w:pPr>
            <w:r>
              <w:rPr>
                <w:rFonts w:hint="eastAsia" w:ascii="宋体" w:hAnsi="宋体" w:eastAsia="宋体" w:cs="宋体"/>
                <w:b/>
                <w:bCs/>
                <w:color w:val="auto"/>
                <w:spacing w:val="-3"/>
                <w:sz w:val="21"/>
                <w:szCs w:val="21"/>
              </w:rPr>
              <w:t>复赛评审总成绩</w:t>
            </w:r>
            <w:r>
              <w:rPr>
                <w:rFonts w:hint="eastAsia" w:ascii="宋体" w:hAnsi="宋体" w:eastAsia="宋体" w:cs="宋体"/>
                <w:b/>
                <w:bCs/>
                <w:color w:val="auto"/>
                <w:spacing w:val="-3"/>
                <w:sz w:val="21"/>
                <w:szCs w:val="21"/>
                <w:lang w:val="en-US" w:eastAsia="zh-CN"/>
              </w:rPr>
              <w:t xml:space="preserve">   </w:t>
            </w:r>
            <w:r>
              <w:rPr>
                <w:rFonts w:hint="eastAsia" w:ascii="宋体" w:hAnsi="宋体" w:eastAsia="宋体" w:cs="宋体"/>
                <w:b/>
                <w:bCs/>
                <w:color w:val="auto"/>
                <w:spacing w:val="-3"/>
                <w:sz w:val="21"/>
                <w:szCs w:val="21"/>
              </w:rPr>
              <w:t>说明:产生参加决赛现场名单</w:t>
            </w:r>
          </w:p>
        </w:tc>
        <w:tc>
          <w:tcPr>
            <w:tcW w:w="1755" w:type="dxa"/>
            <w:tcBorders>
              <w:top w:val="single" w:color="000000" w:sz="2" w:space="0"/>
              <w:left w:val="single" w:color="000000" w:sz="2" w:space="0"/>
              <w:bottom w:val="single" w:color="000000" w:sz="2" w:space="0"/>
            </w:tcBorders>
            <w:vAlign w:val="top"/>
          </w:tcPr>
          <w:p w14:paraId="1BF0FA34">
            <w:pPr>
              <w:spacing w:before="132" w:line="220" w:lineRule="auto"/>
              <w:ind w:left="0"/>
              <w:jc w:val="center"/>
              <w:rPr>
                <w:rFonts w:hint="default"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lang w:val="en-US" w:eastAsia="zh-CN"/>
              </w:rPr>
              <w:t>100</w:t>
            </w:r>
          </w:p>
        </w:tc>
      </w:tr>
      <w:tr w14:paraId="3575E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jc w:val="center"/>
        </w:trPr>
        <w:tc>
          <w:tcPr>
            <w:tcW w:w="736" w:type="dxa"/>
            <w:tcBorders>
              <w:top w:val="single" w:color="000000" w:sz="2" w:space="0"/>
              <w:left w:val="single" w:color="000000" w:sz="2" w:space="0"/>
              <w:bottom w:val="single" w:color="000000" w:sz="2" w:space="0"/>
              <w:right w:val="single" w:color="000000" w:sz="2" w:space="0"/>
            </w:tcBorders>
            <w:vAlign w:val="top"/>
          </w:tcPr>
          <w:p w14:paraId="5972016F">
            <w:pPr>
              <w:spacing w:before="131" w:line="241" w:lineRule="auto"/>
              <w:ind w:left="0" w:leftChars="0"/>
              <w:jc w:val="center"/>
              <w:rPr>
                <w:rFonts w:hint="eastAsia" w:ascii="宋体" w:hAnsi="宋体" w:eastAsia="宋体" w:cs="宋体"/>
                <w:b w:val="0"/>
                <w:bCs w:val="0"/>
                <w:color w:val="auto"/>
                <w:spacing w:val="-3"/>
                <w:sz w:val="21"/>
                <w:szCs w:val="21"/>
              </w:rPr>
            </w:pPr>
            <w:r>
              <w:rPr>
                <w:rFonts w:hint="eastAsia" w:ascii="宋体" w:hAnsi="宋体" w:eastAsia="宋体" w:cs="宋体"/>
                <w:b w:val="0"/>
                <w:bCs w:val="0"/>
                <w:color w:val="auto"/>
                <w:spacing w:val="-3"/>
                <w:sz w:val="21"/>
                <w:szCs w:val="21"/>
                <w:lang w:val="en-US" w:eastAsia="zh-CN"/>
              </w:rPr>
              <w:t>3</w:t>
            </w:r>
          </w:p>
        </w:tc>
        <w:tc>
          <w:tcPr>
            <w:tcW w:w="1365" w:type="dxa"/>
            <w:tcBorders>
              <w:top w:val="single" w:color="000000" w:sz="2" w:space="0"/>
              <w:left w:val="single" w:color="000000" w:sz="2" w:space="0"/>
              <w:bottom w:val="single" w:color="000000" w:sz="2" w:space="0"/>
              <w:right w:val="single" w:color="000000" w:sz="2" w:space="0"/>
            </w:tcBorders>
            <w:vAlign w:val="top"/>
          </w:tcPr>
          <w:p w14:paraId="37F33F00">
            <w:pPr>
              <w:spacing w:before="132" w:line="220" w:lineRule="auto"/>
              <w:ind w:left="163" w:leftChars="0"/>
              <w:jc w:val="center"/>
              <w:rPr>
                <w:rFonts w:hint="eastAsia" w:ascii="宋体" w:hAnsi="宋体" w:eastAsia="宋体" w:cs="宋体"/>
                <w:b w:val="0"/>
                <w:bCs w:val="0"/>
                <w:color w:val="auto"/>
                <w:spacing w:val="-3"/>
                <w:sz w:val="21"/>
                <w:szCs w:val="21"/>
              </w:rPr>
            </w:pPr>
            <w:r>
              <w:rPr>
                <w:rFonts w:ascii="宋体" w:hAnsi="宋体" w:eastAsia="宋体" w:cs="宋体"/>
                <w:b w:val="0"/>
                <w:bCs w:val="0"/>
                <w:color w:val="auto"/>
                <w:spacing w:val="-4"/>
                <w:sz w:val="21"/>
                <w:szCs w:val="21"/>
              </w:rPr>
              <w:t>第</w:t>
            </w:r>
            <w:r>
              <w:rPr>
                <w:rFonts w:hint="eastAsia" w:ascii="宋体" w:hAnsi="宋体" w:eastAsia="宋体" w:cs="宋体"/>
                <w:b w:val="0"/>
                <w:bCs w:val="0"/>
                <w:color w:val="auto"/>
                <w:spacing w:val="-4"/>
                <w:sz w:val="21"/>
                <w:szCs w:val="21"/>
                <w:lang w:val="en-US" w:eastAsia="zh-CN"/>
              </w:rPr>
              <w:t>三</w:t>
            </w:r>
            <w:r>
              <w:rPr>
                <w:rFonts w:ascii="宋体" w:hAnsi="宋体" w:eastAsia="宋体" w:cs="宋体"/>
                <w:b w:val="0"/>
                <w:bCs w:val="0"/>
                <w:color w:val="auto"/>
                <w:spacing w:val="-4"/>
                <w:sz w:val="21"/>
                <w:szCs w:val="21"/>
              </w:rPr>
              <w:t>环节</w:t>
            </w:r>
          </w:p>
        </w:tc>
        <w:tc>
          <w:tcPr>
            <w:tcW w:w="1613" w:type="dxa"/>
            <w:vMerge w:val="restart"/>
            <w:tcBorders>
              <w:top w:val="single" w:color="000000" w:sz="2" w:space="0"/>
              <w:left w:val="single" w:color="000000" w:sz="2" w:space="0"/>
              <w:bottom w:val="single" w:color="000000" w:sz="2" w:space="0"/>
              <w:right w:val="single" w:color="000000" w:sz="2" w:space="0"/>
            </w:tcBorders>
            <w:vAlign w:val="center"/>
          </w:tcPr>
          <w:p w14:paraId="709F3D82">
            <w:pPr>
              <w:spacing w:before="132" w:line="220" w:lineRule="auto"/>
              <w:ind w:left="0" w:leftChars="0"/>
              <w:jc w:val="center"/>
              <w:rPr>
                <w:rFonts w:hint="eastAsia" w:ascii="宋体" w:hAnsi="宋体" w:eastAsia="宋体" w:cs="宋体"/>
                <w:b w:val="0"/>
                <w:bCs w:val="0"/>
                <w:color w:val="auto"/>
                <w:spacing w:val="-3"/>
                <w:sz w:val="21"/>
                <w:szCs w:val="21"/>
              </w:rPr>
            </w:pPr>
            <w:r>
              <w:rPr>
                <w:rFonts w:hint="eastAsia" w:ascii="宋体" w:hAnsi="宋体" w:eastAsia="宋体" w:cs="宋体"/>
                <w:b w:val="0"/>
                <w:bCs w:val="0"/>
                <w:color w:val="auto"/>
                <w:spacing w:val="-4"/>
                <w:sz w:val="21"/>
                <w:szCs w:val="21"/>
                <w:lang w:val="en-US" w:eastAsia="zh-CN"/>
              </w:rPr>
              <w:t>决赛</w:t>
            </w:r>
          </w:p>
        </w:tc>
        <w:tc>
          <w:tcPr>
            <w:tcW w:w="938" w:type="dxa"/>
            <w:vMerge w:val="restart"/>
            <w:tcBorders>
              <w:top w:val="single" w:color="000000" w:sz="2" w:space="0"/>
              <w:left w:val="single" w:color="000000" w:sz="2" w:space="0"/>
              <w:bottom w:val="single" w:color="000000" w:sz="2" w:space="0"/>
              <w:right w:val="single" w:color="000000" w:sz="2" w:space="0"/>
            </w:tcBorders>
            <w:vAlign w:val="center"/>
          </w:tcPr>
          <w:p w14:paraId="2EA90E3D">
            <w:pPr>
              <w:spacing w:before="132" w:line="220" w:lineRule="auto"/>
              <w:ind w:left="0" w:leftChars="0"/>
              <w:jc w:val="center"/>
              <w:rPr>
                <w:rFonts w:hint="eastAsia" w:ascii="宋体" w:hAnsi="宋体" w:eastAsia="宋体" w:cs="宋体"/>
                <w:b w:val="0"/>
                <w:bCs w:val="0"/>
                <w:color w:val="auto"/>
                <w:spacing w:val="-3"/>
                <w:sz w:val="21"/>
                <w:szCs w:val="21"/>
              </w:rPr>
            </w:pPr>
            <w:r>
              <w:rPr>
                <w:rFonts w:hint="eastAsia" w:ascii="宋体" w:hAnsi="宋体" w:eastAsia="宋体" w:cs="宋体"/>
                <w:b w:val="0"/>
                <w:bCs w:val="0"/>
                <w:color w:val="auto"/>
                <w:spacing w:val="-3"/>
                <w:sz w:val="21"/>
                <w:szCs w:val="21"/>
                <w:lang w:val="en-US" w:eastAsia="zh-CN"/>
              </w:rPr>
              <w:t>第一阶段</w:t>
            </w:r>
          </w:p>
        </w:tc>
        <w:tc>
          <w:tcPr>
            <w:tcW w:w="1291" w:type="dxa"/>
            <w:tcBorders>
              <w:top w:val="single" w:color="000000" w:sz="2" w:space="0"/>
              <w:left w:val="single" w:color="000000" w:sz="2" w:space="0"/>
              <w:bottom w:val="single" w:color="000000" w:sz="2" w:space="0"/>
              <w:right w:val="single" w:color="000000" w:sz="2" w:space="0"/>
            </w:tcBorders>
            <w:vAlign w:val="top"/>
          </w:tcPr>
          <w:p w14:paraId="194EB70C">
            <w:pPr>
              <w:spacing w:before="132" w:line="220" w:lineRule="auto"/>
              <w:ind w:left="0" w:leftChars="0"/>
              <w:jc w:val="center"/>
              <w:rPr>
                <w:rFonts w:hint="eastAsia" w:ascii="宋体" w:hAnsi="宋体" w:eastAsia="宋体" w:cs="宋体"/>
                <w:b w:val="0"/>
                <w:bCs w:val="0"/>
                <w:color w:val="auto"/>
                <w:spacing w:val="-3"/>
                <w:sz w:val="21"/>
                <w:szCs w:val="21"/>
              </w:rPr>
            </w:pPr>
            <w:r>
              <w:rPr>
                <w:rFonts w:hint="eastAsia" w:ascii="宋体" w:hAnsi="宋体" w:eastAsia="宋体" w:cs="宋体"/>
                <w:b w:val="0"/>
                <w:bCs w:val="0"/>
                <w:color w:val="auto"/>
                <w:spacing w:val="-3"/>
                <w:sz w:val="21"/>
                <w:szCs w:val="21"/>
                <w:lang w:val="en-US" w:eastAsia="zh-CN"/>
              </w:rPr>
              <w:t>作品说明书</w:t>
            </w:r>
          </w:p>
        </w:tc>
        <w:tc>
          <w:tcPr>
            <w:tcW w:w="1755" w:type="dxa"/>
            <w:tcBorders>
              <w:top w:val="single" w:color="000000" w:sz="2" w:space="0"/>
              <w:left w:val="single" w:color="000000" w:sz="2" w:space="0"/>
              <w:bottom w:val="single" w:color="000000" w:sz="2" w:space="0"/>
            </w:tcBorders>
            <w:vAlign w:val="top"/>
          </w:tcPr>
          <w:p w14:paraId="56CFD778">
            <w:pPr>
              <w:spacing w:before="132" w:line="220" w:lineRule="auto"/>
              <w:ind w:left="0" w:leftChars="0"/>
              <w:jc w:val="center"/>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lang w:val="en-US" w:eastAsia="zh-CN"/>
              </w:rPr>
              <w:t>30</w:t>
            </w:r>
          </w:p>
        </w:tc>
      </w:tr>
      <w:tr w14:paraId="55A04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jc w:val="center"/>
        </w:trPr>
        <w:tc>
          <w:tcPr>
            <w:tcW w:w="736" w:type="dxa"/>
            <w:tcBorders>
              <w:top w:val="single" w:color="000000" w:sz="2" w:space="0"/>
              <w:left w:val="single" w:color="000000" w:sz="2" w:space="0"/>
              <w:bottom w:val="single" w:color="000000" w:sz="2" w:space="0"/>
              <w:right w:val="single" w:color="000000" w:sz="2" w:space="0"/>
            </w:tcBorders>
            <w:vAlign w:val="top"/>
          </w:tcPr>
          <w:p w14:paraId="5790C4B4">
            <w:pPr>
              <w:spacing w:before="131" w:line="241" w:lineRule="auto"/>
              <w:ind w:left="0" w:leftChars="0"/>
              <w:jc w:val="center"/>
              <w:rPr>
                <w:rFonts w:hint="eastAsia" w:ascii="宋体" w:hAnsi="宋体" w:eastAsia="宋体" w:cs="宋体"/>
                <w:b w:val="0"/>
                <w:bCs w:val="0"/>
                <w:color w:val="auto"/>
                <w:spacing w:val="-3"/>
                <w:sz w:val="21"/>
                <w:szCs w:val="21"/>
              </w:rPr>
            </w:pPr>
            <w:r>
              <w:rPr>
                <w:rFonts w:hint="eastAsia" w:ascii="宋体" w:hAnsi="宋体" w:eastAsia="宋体" w:cs="宋体"/>
                <w:b w:val="0"/>
                <w:bCs w:val="0"/>
                <w:color w:val="auto"/>
                <w:spacing w:val="-3"/>
                <w:sz w:val="21"/>
                <w:szCs w:val="21"/>
                <w:lang w:val="en-US" w:eastAsia="zh-CN"/>
              </w:rPr>
              <w:t>4</w:t>
            </w:r>
          </w:p>
        </w:tc>
        <w:tc>
          <w:tcPr>
            <w:tcW w:w="1365" w:type="dxa"/>
            <w:tcBorders>
              <w:top w:val="single" w:color="000000" w:sz="2" w:space="0"/>
              <w:left w:val="single" w:color="000000" w:sz="2" w:space="0"/>
              <w:bottom w:val="single" w:color="000000" w:sz="2" w:space="0"/>
              <w:right w:val="single" w:color="000000" w:sz="2" w:space="0"/>
            </w:tcBorders>
            <w:vAlign w:val="top"/>
          </w:tcPr>
          <w:p w14:paraId="339018A9">
            <w:pPr>
              <w:spacing w:before="132" w:line="220" w:lineRule="auto"/>
              <w:ind w:left="163" w:leftChars="0"/>
              <w:jc w:val="center"/>
              <w:rPr>
                <w:rFonts w:hint="eastAsia" w:ascii="宋体" w:hAnsi="宋体" w:eastAsia="宋体" w:cs="宋体"/>
                <w:b w:val="0"/>
                <w:bCs w:val="0"/>
                <w:color w:val="auto"/>
                <w:spacing w:val="-3"/>
                <w:sz w:val="21"/>
                <w:szCs w:val="21"/>
              </w:rPr>
            </w:pPr>
            <w:r>
              <w:rPr>
                <w:rFonts w:ascii="宋体" w:hAnsi="宋体" w:eastAsia="宋体" w:cs="宋体"/>
                <w:b w:val="0"/>
                <w:bCs w:val="0"/>
                <w:color w:val="auto"/>
                <w:spacing w:val="-4"/>
                <w:sz w:val="21"/>
                <w:szCs w:val="21"/>
              </w:rPr>
              <w:t>第</w:t>
            </w:r>
            <w:r>
              <w:rPr>
                <w:rFonts w:hint="eastAsia" w:ascii="宋体" w:hAnsi="宋体" w:eastAsia="宋体" w:cs="宋体"/>
                <w:b w:val="0"/>
                <w:bCs w:val="0"/>
                <w:color w:val="auto"/>
                <w:spacing w:val="-4"/>
                <w:sz w:val="21"/>
                <w:szCs w:val="21"/>
                <w:lang w:val="en-US" w:eastAsia="zh-CN"/>
              </w:rPr>
              <w:t>四</w:t>
            </w:r>
            <w:r>
              <w:rPr>
                <w:rFonts w:ascii="宋体" w:hAnsi="宋体" w:eastAsia="宋体" w:cs="宋体"/>
                <w:b w:val="0"/>
                <w:bCs w:val="0"/>
                <w:color w:val="auto"/>
                <w:spacing w:val="-4"/>
                <w:sz w:val="21"/>
                <w:szCs w:val="21"/>
              </w:rPr>
              <w:t>环节</w:t>
            </w:r>
          </w:p>
        </w:tc>
        <w:tc>
          <w:tcPr>
            <w:tcW w:w="1613" w:type="dxa"/>
            <w:vMerge w:val="continue"/>
            <w:tcBorders>
              <w:top w:val="single" w:color="000000" w:sz="2" w:space="0"/>
              <w:left w:val="single" w:color="000000" w:sz="2" w:space="0"/>
              <w:bottom w:val="single" w:color="000000" w:sz="2" w:space="0"/>
              <w:right w:val="single" w:color="000000" w:sz="2" w:space="0"/>
            </w:tcBorders>
            <w:vAlign w:val="top"/>
          </w:tcPr>
          <w:p w14:paraId="4EBA8762">
            <w:pPr>
              <w:spacing w:before="132" w:line="220" w:lineRule="auto"/>
              <w:ind w:left="631" w:leftChars="0"/>
              <w:jc w:val="center"/>
              <w:rPr>
                <w:rFonts w:hint="eastAsia" w:ascii="宋体" w:hAnsi="宋体" w:eastAsia="宋体" w:cs="宋体"/>
                <w:b w:val="0"/>
                <w:bCs w:val="0"/>
                <w:color w:val="auto"/>
                <w:spacing w:val="-3"/>
                <w:sz w:val="21"/>
                <w:szCs w:val="21"/>
              </w:rPr>
            </w:pPr>
          </w:p>
        </w:tc>
        <w:tc>
          <w:tcPr>
            <w:tcW w:w="938" w:type="dxa"/>
            <w:vMerge w:val="continue"/>
            <w:tcBorders>
              <w:top w:val="single" w:color="000000" w:sz="2" w:space="0"/>
              <w:left w:val="single" w:color="000000" w:sz="2" w:space="0"/>
              <w:bottom w:val="single" w:color="000000" w:sz="2" w:space="0"/>
              <w:right w:val="single" w:color="000000" w:sz="2" w:space="0"/>
            </w:tcBorders>
            <w:vAlign w:val="top"/>
          </w:tcPr>
          <w:p w14:paraId="30056E28">
            <w:pPr>
              <w:spacing w:before="132" w:line="220" w:lineRule="auto"/>
              <w:ind w:left="631" w:leftChars="0"/>
              <w:jc w:val="center"/>
              <w:rPr>
                <w:rFonts w:hint="eastAsia" w:ascii="宋体" w:hAnsi="宋体" w:eastAsia="宋体" w:cs="宋体"/>
                <w:b w:val="0"/>
                <w:bCs w:val="0"/>
                <w:color w:val="auto"/>
                <w:spacing w:val="-3"/>
                <w:sz w:val="21"/>
                <w:szCs w:val="21"/>
              </w:rPr>
            </w:pPr>
          </w:p>
        </w:tc>
        <w:tc>
          <w:tcPr>
            <w:tcW w:w="1291" w:type="dxa"/>
            <w:tcBorders>
              <w:top w:val="single" w:color="000000" w:sz="2" w:space="0"/>
              <w:left w:val="single" w:color="000000" w:sz="2" w:space="0"/>
              <w:bottom w:val="single" w:color="000000" w:sz="2" w:space="0"/>
              <w:right w:val="single" w:color="000000" w:sz="2" w:space="0"/>
            </w:tcBorders>
            <w:vAlign w:val="top"/>
          </w:tcPr>
          <w:p w14:paraId="6B4C650B">
            <w:pPr>
              <w:spacing w:before="132" w:line="220" w:lineRule="auto"/>
              <w:ind w:left="0" w:leftChars="0"/>
              <w:jc w:val="center"/>
              <w:rPr>
                <w:rFonts w:hint="eastAsia" w:ascii="宋体" w:hAnsi="宋体" w:eastAsia="宋体" w:cs="宋体"/>
                <w:b w:val="0"/>
                <w:bCs w:val="0"/>
                <w:color w:val="auto"/>
                <w:spacing w:val="-3"/>
                <w:sz w:val="21"/>
                <w:szCs w:val="21"/>
              </w:rPr>
            </w:pPr>
            <w:r>
              <w:rPr>
                <w:rFonts w:hint="eastAsia" w:ascii="宋体" w:hAnsi="宋体" w:eastAsia="宋体" w:cs="宋体"/>
                <w:b w:val="0"/>
                <w:bCs w:val="0"/>
                <w:color w:val="auto"/>
                <w:spacing w:val="-4"/>
                <w:sz w:val="21"/>
                <w:szCs w:val="21"/>
                <w:lang w:val="en-US" w:eastAsia="zh-CN"/>
              </w:rPr>
              <w:t>现场比赛</w:t>
            </w:r>
          </w:p>
        </w:tc>
        <w:tc>
          <w:tcPr>
            <w:tcW w:w="1755" w:type="dxa"/>
            <w:tcBorders>
              <w:top w:val="single" w:color="000000" w:sz="2" w:space="0"/>
              <w:left w:val="single" w:color="000000" w:sz="2" w:space="0"/>
              <w:bottom w:val="single" w:color="000000" w:sz="2" w:space="0"/>
            </w:tcBorders>
            <w:vAlign w:val="top"/>
          </w:tcPr>
          <w:p w14:paraId="30F3BC4F">
            <w:pPr>
              <w:spacing w:before="132" w:line="220" w:lineRule="auto"/>
              <w:ind w:left="0" w:leftChars="0"/>
              <w:jc w:val="center"/>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lang w:val="en-US" w:eastAsia="zh-CN"/>
              </w:rPr>
              <w:t>70</w:t>
            </w:r>
          </w:p>
        </w:tc>
      </w:tr>
      <w:tr w14:paraId="60FCB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jc w:val="center"/>
        </w:trPr>
        <w:tc>
          <w:tcPr>
            <w:tcW w:w="2101" w:type="dxa"/>
            <w:gridSpan w:val="2"/>
            <w:tcBorders>
              <w:top w:val="single" w:color="000000" w:sz="2" w:space="0"/>
              <w:left w:val="single" w:color="000000" w:sz="2" w:space="0"/>
              <w:bottom w:val="single" w:color="000000" w:sz="2" w:space="0"/>
              <w:right w:val="single" w:color="000000" w:sz="2" w:space="0"/>
            </w:tcBorders>
            <w:vAlign w:val="top"/>
          </w:tcPr>
          <w:p w14:paraId="299F47A6">
            <w:pPr>
              <w:spacing w:before="132" w:line="220" w:lineRule="auto"/>
              <w:ind w:left="163" w:leftChars="0"/>
              <w:jc w:val="center"/>
              <w:rPr>
                <w:rFonts w:ascii="宋体" w:hAnsi="宋体" w:eastAsia="宋体" w:cs="宋体"/>
                <w:b w:val="0"/>
                <w:bCs w:val="0"/>
                <w:color w:val="auto"/>
                <w:spacing w:val="-4"/>
                <w:sz w:val="21"/>
                <w:szCs w:val="21"/>
              </w:rPr>
            </w:pPr>
          </w:p>
        </w:tc>
        <w:tc>
          <w:tcPr>
            <w:tcW w:w="1613" w:type="dxa"/>
            <w:vMerge w:val="continue"/>
            <w:tcBorders>
              <w:top w:val="single" w:color="000000" w:sz="2" w:space="0"/>
              <w:left w:val="single" w:color="000000" w:sz="2" w:space="0"/>
              <w:bottom w:val="single" w:color="000000" w:sz="2" w:space="0"/>
              <w:right w:val="single" w:color="000000" w:sz="2" w:space="0"/>
            </w:tcBorders>
            <w:vAlign w:val="top"/>
          </w:tcPr>
          <w:p w14:paraId="600CB5F3">
            <w:pPr>
              <w:spacing w:before="132" w:line="220" w:lineRule="auto"/>
              <w:ind w:left="631" w:leftChars="0"/>
              <w:jc w:val="center"/>
              <w:rPr>
                <w:rFonts w:hint="eastAsia" w:ascii="宋体" w:hAnsi="宋体" w:eastAsia="宋体" w:cs="宋体"/>
                <w:b w:val="0"/>
                <w:bCs w:val="0"/>
                <w:color w:val="auto"/>
                <w:spacing w:val="-3"/>
                <w:sz w:val="21"/>
                <w:szCs w:val="21"/>
              </w:rPr>
            </w:pPr>
          </w:p>
        </w:tc>
        <w:tc>
          <w:tcPr>
            <w:tcW w:w="3984" w:type="dxa"/>
            <w:gridSpan w:val="3"/>
            <w:tcBorders>
              <w:top w:val="single" w:color="000000" w:sz="2" w:space="0"/>
              <w:left w:val="single" w:color="000000" w:sz="2" w:space="0"/>
              <w:bottom w:val="single" w:color="000000" w:sz="2" w:space="0"/>
            </w:tcBorders>
            <w:vAlign w:val="top"/>
          </w:tcPr>
          <w:p w14:paraId="0657ADE5">
            <w:pPr>
              <w:spacing w:before="132" w:line="220" w:lineRule="auto"/>
              <w:ind w:left="0" w:leftChars="0"/>
              <w:jc w:val="center"/>
              <w:rPr>
                <w:rFonts w:hint="default"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lang w:val="en-US" w:eastAsia="zh-CN"/>
              </w:rPr>
              <w:t>说明：产生第二阶段名单</w:t>
            </w:r>
          </w:p>
        </w:tc>
      </w:tr>
      <w:tr w14:paraId="774CF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jc w:val="center"/>
        </w:trPr>
        <w:tc>
          <w:tcPr>
            <w:tcW w:w="736" w:type="dxa"/>
            <w:tcBorders>
              <w:top w:val="single" w:color="000000" w:sz="2" w:space="0"/>
              <w:left w:val="single" w:color="000000" w:sz="2" w:space="0"/>
              <w:right w:val="single" w:color="000000" w:sz="2" w:space="0"/>
            </w:tcBorders>
            <w:vAlign w:val="top"/>
          </w:tcPr>
          <w:p w14:paraId="2192F40A">
            <w:pPr>
              <w:spacing w:before="131" w:line="241" w:lineRule="auto"/>
              <w:ind w:left="0" w:leftChars="0"/>
              <w:jc w:val="center"/>
              <w:rPr>
                <w:rFonts w:hint="eastAsia" w:ascii="宋体" w:hAnsi="宋体" w:eastAsia="宋体" w:cs="宋体"/>
                <w:b w:val="0"/>
                <w:bCs w:val="0"/>
                <w:color w:val="auto"/>
                <w:spacing w:val="-3"/>
                <w:sz w:val="21"/>
                <w:szCs w:val="21"/>
              </w:rPr>
            </w:pPr>
            <w:r>
              <w:rPr>
                <w:rFonts w:hint="eastAsia" w:ascii="宋体" w:hAnsi="宋体" w:eastAsia="宋体" w:cs="宋体"/>
                <w:b w:val="0"/>
                <w:bCs w:val="0"/>
                <w:color w:val="auto"/>
                <w:spacing w:val="-3"/>
                <w:sz w:val="21"/>
                <w:szCs w:val="21"/>
                <w:lang w:val="en-US" w:eastAsia="zh-CN"/>
              </w:rPr>
              <w:t>5</w:t>
            </w:r>
          </w:p>
        </w:tc>
        <w:tc>
          <w:tcPr>
            <w:tcW w:w="1365" w:type="dxa"/>
            <w:tcBorders>
              <w:top w:val="single" w:color="000000" w:sz="2" w:space="0"/>
              <w:left w:val="single" w:color="000000" w:sz="2" w:space="0"/>
              <w:right w:val="single" w:color="000000" w:sz="2" w:space="0"/>
            </w:tcBorders>
            <w:vAlign w:val="top"/>
          </w:tcPr>
          <w:p w14:paraId="3BFCA723">
            <w:pPr>
              <w:spacing w:before="132" w:line="220" w:lineRule="auto"/>
              <w:ind w:left="163" w:leftChars="0"/>
              <w:jc w:val="center"/>
              <w:rPr>
                <w:rFonts w:hint="eastAsia" w:ascii="宋体" w:hAnsi="宋体" w:eastAsia="宋体" w:cs="宋体"/>
                <w:b w:val="0"/>
                <w:bCs w:val="0"/>
                <w:color w:val="auto"/>
                <w:spacing w:val="-3"/>
                <w:sz w:val="21"/>
                <w:szCs w:val="21"/>
              </w:rPr>
            </w:pPr>
            <w:r>
              <w:rPr>
                <w:rFonts w:ascii="宋体" w:hAnsi="宋体" w:eastAsia="宋体" w:cs="宋体"/>
                <w:b w:val="0"/>
                <w:bCs w:val="0"/>
                <w:color w:val="auto"/>
                <w:spacing w:val="-4"/>
                <w:sz w:val="21"/>
                <w:szCs w:val="21"/>
              </w:rPr>
              <w:t>第</w:t>
            </w:r>
            <w:r>
              <w:rPr>
                <w:rFonts w:hint="eastAsia" w:ascii="宋体" w:hAnsi="宋体" w:eastAsia="宋体" w:cs="宋体"/>
                <w:b w:val="0"/>
                <w:bCs w:val="0"/>
                <w:color w:val="auto"/>
                <w:spacing w:val="-4"/>
                <w:sz w:val="21"/>
                <w:szCs w:val="21"/>
                <w:lang w:val="en-US" w:eastAsia="zh-CN"/>
              </w:rPr>
              <w:t>五</w:t>
            </w:r>
            <w:r>
              <w:rPr>
                <w:rFonts w:ascii="宋体" w:hAnsi="宋体" w:eastAsia="宋体" w:cs="宋体"/>
                <w:b w:val="0"/>
                <w:bCs w:val="0"/>
                <w:color w:val="auto"/>
                <w:spacing w:val="-4"/>
                <w:sz w:val="21"/>
                <w:szCs w:val="21"/>
              </w:rPr>
              <w:t>环节</w:t>
            </w:r>
          </w:p>
        </w:tc>
        <w:tc>
          <w:tcPr>
            <w:tcW w:w="1613" w:type="dxa"/>
            <w:vMerge w:val="continue"/>
            <w:tcBorders>
              <w:top w:val="single" w:color="000000" w:sz="2" w:space="0"/>
              <w:left w:val="single" w:color="000000" w:sz="2" w:space="0"/>
              <w:right w:val="single" w:color="000000" w:sz="2" w:space="0"/>
            </w:tcBorders>
            <w:vAlign w:val="top"/>
          </w:tcPr>
          <w:p w14:paraId="21B5A04B">
            <w:pPr>
              <w:spacing w:before="132" w:line="220" w:lineRule="auto"/>
              <w:ind w:left="631" w:leftChars="0"/>
              <w:jc w:val="center"/>
              <w:rPr>
                <w:rFonts w:hint="eastAsia" w:ascii="宋体" w:hAnsi="宋体" w:eastAsia="宋体" w:cs="宋体"/>
                <w:b w:val="0"/>
                <w:bCs w:val="0"/>
                <w:color w:val="auto"/>
                <w:spacing w:val="-3"/>
                <w:sz w:val="21"/>
                <w:szCs w:val="21"/>
              </w:rPr>
            </w:pPr>
          </w:p>
        </w:tc>
        <w:tc>
          <w:tcPr>
            <w:tcW w:w="938" w:type="dxa"/>
            <w:tcBorders>
              <w:top w:val="single" w:color="000000" w:sz="2" w:space="0"/>
              <w:left w:val="single" w:color="000000" w:sz="2" w:space="0"/>
              <w:right w:val="single" w:color="000000" w:sz="2" w:space="0"/>
            </w:tcBorders>
            <w:vAlign w:val="top"/>
          </w:tcPr>
          <w:p w14:paraId="216F2541">
            <w:pPr>
              <w:spacing w:before="132" w:line="220" w:lineRule="auto"/>
              <w:ind w:left="0" w:leftChars="0"/>
              <w:jc w:val="center"/>
              <w:rPr>
                <w:rFonts w:hint="eastAsia" w:ascii="宋体" w:hAnsi="宋体" w:eastAsia="宋体" w:cs="宋体"/>
                <w:b w:val="0"/>
                <w:bCs w:val="0"/>
                <w:color w:val="auto"/>
                <w:spacing w:val="-3"/>
                <w:sz w:val="21"/>
                <w:szCs w:val="21"/>
              </w:rPr>
            </w:pPr>
            <w:r>
              <w:rPr>
                <w:rFonts w:hint="eastAsia" w:ascii="宋体" w:hAnsi="宋体" w:eastAsia="宋体" w:cs="宋体"/>
                <w:b w:val="0"/>
                <w:bCs w:val="0"/>
                <w:color w:val="auto"/>
                <w:spacing w:val="-4"/>
                <w:sz w:val="21"/>
                <w:szCs w:val="21"/>
                <w:lang w:val="en-US" w:eastAsia="zh-CN"/>
              </w:rPr>
              <w:t>第二阶段</w:t>
            </w:r>
          </w:p>
        </w:tc>
        <w:tc>
          <w:tcPr>
            <w:tcW w:w="1291" w:type="dxa"/>
            <w:tcBorders>
              <w:top w:val="single" w:color="000000" w:sz="2" w:space="0"/>
              <w:left w:val="single" w:color="000000" w:sz="2" w:space="0"/>
              <w:right w:val="single" w:color="000000" w:sz="2" w:space="0"/>
            </w:tcBorders>
            <w:vAlign w:val="top"/>
          </w:tcPr>
          <w:p w14:paraId="074277BF">
            <w:pPr>
              <w:spacing w:before="132" w:line="220" w:lineRule="auto"/>
              <w:ind w:left="0" w:leftChars="0"/>
              <w:jc w:val="center"/>
              <w:rPr>
                <w:rFonts w:hint="eastAsia" w:ascii="宋体" w:hAnsi="宋体" w:eastAsia="宋体" w:cs="宋体"/>
                <w:b w:val="0"/>
                <w:bCs w:val="0"/>
                <w:color w:val="auto"/>
                <w:spacing w:val="-3"/>
                <w:sz w:val="21"/>
                <w:szCs w:val="21"/>
              </w:rPr>
            </w:pPr>
            <w:r>
              <w:rPr>
                <w:rFonts w:hint="eastAsia" w:ascii="宋体" w:hAnsi="宋体" w:eastAsia="宋体" w:cs="宋体"/>
                <w:b w:val="0"/>
                <w:bCs w:val="0"/>
                <w:color w:val="auto"/>
                <w:spacing w:val="-4"/>
                <w:sz w:val="21"/>
                <w:szCs w:val="21"/>
              </w:rPr>
              <w:t>现场决赛</w:t>
            </w:r>
          </w:p>
        </w:tc>
        <w:tc>
          <w:tcPr>
            <w:tcW w:w="1755" w:type="dxa"/>
            <w:tcBorders>
              <w:top w:val="single" w:color="000000" w:sz="2" w:space="0"/>
              <w:left w:val="single" w:color="000000" w:sz="2" w:space="0"/>
            </w:tcBorders>
            <w:vAlign w:val="top"/>
          </w:tcPr>
          <w:p w14:paraId="56A10AE1">
            <w:pPr>
              <w:spacing w:before="132" w:line="220" w:lineRule="auto"/>
              <w:ind w:left="0" w:leftChars="0"/>
              <w:jc w:val="center"/>
              <w:rPr>
                <w:rFonts w:hint="eastAsia" w:ascii="宋体" w:hAnsi="宋体" w:eastAsia="宋体" w:cs="宋体"/>
                <w:b w:val="0"/>
                <w:bCs w:val="0"/>
                <w:color w:val="auto"/>
                <w:spacing w:val="-4"/>
                <w:sz w:val="21"/>
                <w:szCs w:val="21"/>
                <w:lang w:val="en-US" w:eastAsia="zh-CN"/>
              </w:rPr>
            </w:pPr>
            <w:r>
              <w:rPr>
                <w:rFonts w:hint="eastAsia" w:ascii="宋体" w:hAnsi="宋体" w:eastAsia="宋体" w:cs="宋体"/>
                <w:b w:val="0"/>
                <w:bCs w:val="0"/>
                <w:color w:val="auto"/>
                <w:spacing w:val="-4"/>
                <w:sz w:val="21"/>
                <w:szCs w:val="21"/>
                <w:lang w:val="en-US" w:eastAsia="zh-CN"/>
              </w:rPr>
              <w:t>100</w:t>
            </w:r>
          </w:p>
        </w:tc>
      </w:tr>
    </w:tbl>
    <w:p w14:paraId="387A5BDB"/>
    <w:p w14:paraId="60055759">
      <w:pPr>
        <w:spacing w:line="360" w:lineRule="auto"/>
        <w:rPr>
          <w:rFonts w:hint="eastAsia" w:ascii="黑体" w:hAnsi="黑体" w:eastAsia="黑体" w:cs="黑体"/>
          <w:b/>
          <w:bCs/>
          <w:sz w:val="28"/>
          <w:szCs w:val="28"/>
        </w:rPr>
      </w:pPr>
      <w:r>
        <w:rPr>
          <w:rFonts w:hint="eastAsia" w:ascii="黑体" w:hAnsi="黑体" w:eastAsia="黑体" w:cs="黑体"/>
          <w:b/>
          <w:bCs/>
          <w:sz w:val="28"/>
          <w:szCs w:val="28"/>
        </w:rPr>
        <w:t>3</w:t>
      </w:r>
      <w:r>
        <w:rPr>
          <w:rFonts w:hint="eastAsia" w:ascii="黑体" w:hAnsi="黑体" w:eastAsia="黑体" w:cs="黑体"/>
          <w:b/>
          <w:bCs/>
          <w:sz w:val="28"/>
          <w:szCs w:val="28"/>
          <w:lang w:val="en-US" w:eastAsia="zh-CN"/>
        </w:rPr>
        <w:t>.</w:t>
      </w:r>
      <w:r>
        <w:rPr>
          <w:rFonts w:hint="eastAsia" w:ascii="黑体" w:hAnsi="黑体" w:eastAsia="黑体" w:cs="黑体"/>
          <w:b/>
          <w:bCs/>
          <w:sz w:val="28"/>
          <w:szCs w:val="28"/>
        </w:rPr>
        <w:t>运行场地</w:t>
      </w:r>
    </w:p>
    <w:p w14:paraId="2BA5B7B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本赛项的运行场地是以低空消防场景为蓝本设计，无人机运行场地控制在4000×4000×3000mm 区域（长×宽×高，以现场提供为准，如图 1 所示），场地四周采用安全网包围，场地地面为哑光白色。比赛场地主要由起飞区、固定障碍和随机障碍、危险品任务区、人员救助任务区等组成。</w:t>
      </w:r>
    </w:p>
    <w:p w14:paraId="63700876">
      <w:pPr>
        <w:pStyle w:val="3"/>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r>
        <w:rPr>
          <w:rFonts w:hint="eastAsia"/>
          <w:lang w:eastAsia="zh-CN"/>
        </w:rPr>
        <w:t>（</w:t>
      </w:r>
      <w:r>
        <w:rPr>
          <w:rFonts w:hint="eastAsia"/>
          <w:lang w:val="en-US" w:eastAsia="zh-CN"/>
        </w:rPr>
        <w:t>1</w:t>
      </w:r>
      <w:r>
        <w:rPr>
          <w:rFonts w:hint="eastAsia"/>
          <w:lang w:eastAsia="zh-CN"/>
        </w:rPr>
        <w:t>）</w:t>
      </w:r>
      <w:r>
        <w:t>参赛的无人机从Φ500mm 的</w:t>
      </w:r>
      <w:r>
        <w:rPr>
          <w:rFonts w:hint="eastAsia"/>
          <w:lang w:val="en-US" w:eastAsia="zh-CN"/>
        </w:rPr>
        <w:t>圆形</w:t>
      </w:r>
      <w:r>
        <w:t>起飞</w:t>
      </w:r>
      <w:r>
        <w:rPr>
          <w:rFonts w:hint="eastAsia"/>
          <w:lang w:val="en-US" w:eastAsia="zh-CN"/>
        </w:rPr>
        <w:t>区</w:t>
      </w:r>
      <w:r>
        <w:t>起飞，并在所有任务完成后返回起飞点降落。</w:t>
      </w:r>
    </w:p>
    <w:p w14:paraId="107CCA8B">
      <w:pPr>
        <w:pStyle w:val="3"/>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r>
        <w:rPr>
          <w:rFonts w:hint="eastAsia"/>
          <w:lang w:eastAsia="zh-CN"/>
        </w:rPr>
        <w:t>（</w:t>
      </w:r>
      <w:r>
        <w:rPr>
          <w:rFonts w:hint="eastAsia"/>
          <w:lang w:val="en-US" w:eastAsia="zh-CN"/>
        </w:rPr>
        <w:t>2</w:t>
      </w:r>
      <w:r>
        <w:rPr>
          <w:rFonts w:hint="eastAsia"/>
          <w:lang w:eastAsia="zh-CN"/>
        </w:rPr>
        <w:t>）</w:t>
      </w:r>
      <w:r>
        <w:t>固定障碍物一共 4 处，其材料为硬质挡板，尺寸分别为</w:t>
      </w:r>
      <w:r>
        <w:rPr>
          <w:rFonts w:hint="eastAsia"/>
          <w:lang w:eastAsia="zh-CN"/>
        </w:rPr>
        <w:t>：</w:t>
      </w:r>
      <w:r>
        <w:t>1700×2000×100（mm）（</w:t>
      </w:r>
      <w:r>
        <w:rPr>
          <w:rFonts w:hint="eastAsia"/>
          <w:lang w:val="en-US" w:eastAsia="zh-CN"/>
        </w:rPr>
        <w:t>宽</w:t>
      </w:r>
      <w:r>
        <w:t>×高×厚，固定障碍 1）、1600×2000×100（mm）（</w:t>
      </w:r>
      <w:r>
        <w:rPr>
          <w:rFonts w:hint="eastAsia"/>
          <w:lang w:val="en-US" w:eastAsia="zh-CN"/>
        </w:rPr>
        <w:t>宽</w:t>
      </w:r>
      <w:r>
        <w:t>×高×厚，固定障碍 2）、500×2000×100（mm）（</w:t>
      </w:r>
      <w:r>
        <w:rPr>
          <w:rFonts w:hint="eastAsia"/>
          <w:lang w:val="en-US" w:eastAsia="zh-CN"/>
        </w:rPr>
        <w:t>宽</w:t>
      </w:r>
      <w:r>
        <w:t>×高×厚，固定障碍 3 和 4），其位置如图 1 所示。</w:t>
      </w:r>
    </w:p>
    <w:p w14:paraId="6135D46C">
      <w:pPr>
        <w:pStyle w:val="3"/>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r>
        <w:rPr>
          <w:rFonts w:hint="eastAsia"/>
          <w:lang w:eastAsia="zh-CN"/>
        </w:rPr>
        <w:t>（</w:t>
      </w:r>
      <w:r>
        <w:rPr>
          <w:rFonts w:hint="eastAsia"/>
          <w:lang w:val="en-US" w:eastAsia="zh-CN"/>
        </w:rPr>
        <w:t>3</w:t>
      </w:r>
      <w:r>
        <w:rPr>
          <w:rFonts w:hint="eastAsia"/>
          <w:lang w:eastAsia="zh-CN"/>
        </w:rPr>
        <w:t>）</w:t>
      </w:r>
      <w:r>
        <w:t xml:space="preserve"> 随机障碍物一共 2 个，均为Φ200×2000（mm）的圆柱体，每个障碍物有两个摆放位置 1 和 2（如图 1 所示），比赛时抽签确定随机障碍物的摆放位置。为保障参赛作品正常穿过障碍，随机障碍物设置时会保证其中一侧距离（飞行通行距离）大于等于 1300mm。</w:t>
      </w:r>
    </w:p>
    <w:p w14:paraId="3BD74D49">
      <w:pPr>
        <w:pStyle w:val="3"/>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pPr>
      <w:r>
        <w:rPr>
          <w:rFonts w:hint="eastAsia"/>
          <w:lang w:eastAsia="zh-CN"/>
        </w:rPr>
        <w:t>（</w:t>
      </w:r>
      <w:r>
        <w:rPr>
          <w:rFonts w:hint="eastAsia"/>
          <w:lang w:val="en-US" w:eastAsia="zh-CN"/>
        </w:rPr>
        <w:t>4</w:t>
      </w:r>
      <w:r>
        <w:rPr>
          <w:rFonts w:hint="eastAsia"/>
          <w:lang w:eastAsia="zh-CN"/>
        </w:rPr>
        <w:t>）</w:t>
      </w:r>
      <w:r>
        <w:t>危险品任务区、人员救助任务区为正方形平面区域，尺寸为400×400（mm）（长×宽），边缘有明显边框标识。危险品任务区有两个，两个任务区上均有图像，正确的危险品上有易燃、易爆、有毒有害等危险品的警告标志，另一个任务区有其它警告标志作为干扰项，警告标志均为黄色三角形。抽签确定两个区域具体放置的警告标志及正确危险品警告标志放置的位置（1 或 2</w:t>
      </w:r>
      <w:r>
        <w:rPr>
          <w:rFonts w:hint="eastAsia"/>
          <w:lang w:eastAsia="zh-CN"/>
        </w:rPr>
        <w:t>）。</w:t>
      </w:r>
      <w:r>
        <w:t>如图 1 所示，图中的图像仅仅是示意图，以抽签结果为准）。人员救助任务区上有人头图像，有多个放置位置（1、2、3）</w:t>
      </w:r>
      <w:r>
        <w:rPr>
          <w:rFonts w:hint="eastAsia"/>
          <w:lang w:eastAsia="zh-CN"/>
        </w:rPr>
        <w:t>，</w:t>
      </w:r>
      <w:r>
        <w:t>比赛时抽签确定具体的放置位置。</w:t>
      </w:r>
    </w:p>
    <w:p w14:paraId="7AD00C5F">
      <w:pPr>
        <w:pStyle w:val="3"/>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b w:val="0"/>
          <w:bCs w:val="0"/>
          <w:spacing w:val="-5"/>
        </w:rPr>
      </w:pPr>
      <w:r>
        <w:rPr>
          <w:rFonts w:hint="eastAsia"/>
          <w:lang w:eastAsia="zh-CN"/>
        </w:rPr>
        <w:t>（</w:t>
      </w:r>
      <w:r>
        <w:rPr>
          <w:rFonts w:hint="eastAsia"/>
          <w:lang w:val="en-US" w:eastAsia="zh-CN"/>
        </w:rPr>
        <w:t>5</w:t>
      </w:r>
      <w:r>
        <w:rPr>
          <w:rFonts w:hint="eastAsia"/>
          <w:lang w:eastAsia="zh-CN"/>
        </w:rPr>
        <w:t>）</w:t>
      </w:r>
      <w:r>
        <w:t>投放的物资有消防物资和救援物资等，</w:t>
      </w:r>
      <w:r>
        <w:rPr>
          <w:rFonts w:hint="eastAsia"/>
          <w:lang w:val="en-US" w:eastAsia="zh-CN"/>
        </w:rPr>
        <w:t>单个物资</w:t>
      </w:r>
      <w:r>
        <w:t>最大尺寸在 80mm 立方体范围内，</w:t>
      </w:r>
      <w:r>
        <w:rPr>
          <w:rFonts w:hint="eastAsia"/>
          <w:lang w:val="en-US" w:eastAsia="zh-CN"/>
        </w:rPr>
        <w:t>以赛事提供的实物尺寸为准</w:t>
      </w:r>
      <w:r>
        <w:t>。</w:t>
      </w:r>
    </w:p>
    <w:p w14:paraId="438AE3CC">
      <w:pPr>
        <w:spacing w:before="35" w:line="8373" w:lineRule="exact"/>
        <w:ind w:firstLine="14"/>
        <w:rPr>
          <w:b w:val="0"/>
          <w:bCs w:val="0"/>
        </w:rPr>
      </w:pPr>
      <w:r>
        <w:rPr>
          <w:b w:val="0"/>
          <w:bCs w:val="0"/>
          <w:position w:val="-167"/>
        </w:rPr>
        <w:drawing>
          <wp:inline distT="0" distB="0" distL="0" distR="0">
            <wp:extent cx="5274310" cy="531685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5274564" cy="5317235"/>
                    </a:xfrm>
                    <a:prstGeom prst="rect">
                      <a:avLst/>
                    </a:prstGeom>
                  </pic:spPr>
                </pic:pic>
              </a:graphicData>
            </a:graphic>
          </wp:inline>
        </w:drawing>
      </w:r>
    </w:p>
    <w:p w14:paraId="7D4D650F">
      <w:pPr>
        <w:pStyle w:val="3"/>
        <w:spacing w:before="75" w:line="220" w:lineRule="auto"/>
        <w:ind w:left="2538"/>
        <w:outlineLvl w:val="0"/>
        <w:rPr>
          <w:b/>
          <w:bCs/>
          <w:sz w:val="22"/>
          <w:szCs w:val="22"/>
        </w:rPr>
      </w:pPr>
      <w:r>
        <w:rPr>
          <w:b/>
          <w:bCs/>
          <w:spacing w:val="-8"/>
          <w:sz w:val="22"/>
          <w:szCs w:val="22"/>
        </w:rPr>
        <w:t>图</w:t>
      </w:r>
      <w:r>
        <w:rPr>
          <w:b/>
          <w:bCs/>
          <w:spacing w:val="-19"/>
          <w:sz w:val="22"/>
          <w:szCs w:val="22"/>
        </w:rPr>
        <w:t xml:space="preserve"> </w:t>
      </w:r>
      <w:r>
        <w:rPr>
          <w:b/>
          <w:bCs/>
          <w:spacing w:val="-8"/>
          <w:sz w:val="22"/>
          <w:szCs w:val="22"/>
        </w:rPr>
        <w:t>1</w:t>
      </w:r>
      <w:r>
        <w:rPr>
          <w:b/>
          <w:bCs/>
          <w:spacing w:val="13"/>
          <w:sz w:val="22"/>
          <w:szCs w:val="22"/>
        </w:rPr>
        <w:t xml:space="preserve">  </w:t>
      </w:r>
      <w:r>
        <w:rPr>
          <w:b/>
          <w:bCs/>
          <w:spacing w:val="-8"/>
          <w:sz w:val="22"/>
          <w:szCs w:val="22"/>
        </w:rPr>
        <w:t>四旋翼无人机现场运行示意图</w:t>
      </w:r>
    </w:p>
    <w:p w14:paraId="5385A8FC">
      <w:pPr>
        <w:pStyle w:val="3"/>
        <w:spacing w:line="360" w:lineRule="auto"/>
        <w:ind w:firstLine="482" w:firstLineChars="200"/>
        <w:rPr>
          <w:b/>
          <w:bCs/>
        </w:rPr>
      </w:pPr>
    </w:p>
    <w:p w14:paraId="46842DED">
      <w:pPr>
        <w:pStyle w:val="3"/>
        <w:numPr>
          <w:ilvl w:val="0"/>
          <w:numId w:val="1"/>
        </w:numPr>
        <w:spacing w:line="360" w:lineRule="auto"/>
        <w:rPr>
          <w:rFonts w:hint="eastAsia" w:ascii="黑体" w:hAnsi="黑体" w:eastAsia="黑体" w:cs="黑体"/>
          <w:b/>
          <w:bCs/>
          <w:sz w:val="28"/>
          <w:szCs w:val="28"/>
        </w:rPr>
      </w:pPr>
      <w:r>
        <w:rPr>
          <w:rFonts w:hint="eastAsia" w:ascii="黑体" w:hAnsi="黑体" w:eastAsia="黑体" w:cs="黑体"/>
          <w:b/>
          <w:bCs/>
          <w:sz w:val="28"/>
          <w:szCs w:val="28"/>
        </w:rPr>
        <w:t>赛项具体要求</w:t>
      </w:r>
    </w:p>
    <w:p w14:paraId="05C96535">
      <w:pPr>
        <w:tabs>
          <w:tab w:val="left" w:pos="1620"/>
        </w:tabs>
        <w:spacing w:before="60" w:beforeLines="25" w:after="60" w:afterLines="25" w:line="300" w:lineRule="auto"/>
        <w:jc w:val="both"/>
        <w:rPr>
          <w:rFonts w:hint="eastAsia" w:cs="Times New Roman" w:asciiTheme="minorEastAsia" w:hAnsiTheme="minorEastAsia"/>
          <w:b/>
          <w:bCs/>
          <w:color w:val="000000" w:themeColor="text1"/>
          <w:kern w:val="2"/>
          <w:sz w:val="28"/>
          <w:szCs w:val="28"/>
          <w:lang w:eastAsia="zh-CN"/>
          <w14:textFill>
            <w14:solidFill>
              <w14:schemeClr w14:val="tx1"/>
            </w14:solidFill>
          </w14:textFill>
        </w:rPr>
      </w:pPr>
      <w:r>
        <w:rPr>
          <w:rFonts w:hint="eastAsia" w:cs="Times New Roman" w:asciiTheme="minorEastAsia" w:hAnsiTheme="minorEastAsia"/>
          <w:b/>
          <w:bCs/>
          <w:color w:val="000000" w:themeColor="text1"/>
          <w:kern w:val="2"/>
          <w:sz w:val="28"/>
          <w:szCs w:val="28"/>
          <w:lang w:eastAsia="zh-CN"/>
          <w14:textFill>
            <w14:solidFill>
              <w14:schemeClr w14:val="tx1"/>
            </w14:solidFill>
          </w14:textFill>
        </w:rPr>
        <w:t xml:space="preserve">（一）复赛 </w:t>
      </w:r>
    </w:p>
    <w:p w14:paraId="1A3C5CA0">
      <w:pPr>
        <w:tabs>
          <w:tab w:val="left" w:pos="1620"/>
        </w:tabs>
        <w:spacing w:before="60" w:beforeLines="25" w:after="60" w:afterLines="25" w:line="300" w:lineRule="auto"/>
        <w:rPr>
          <w:rFonts w:hint="eastAsia" w:cs="Times New Roman" w:asciiTheme="minorEastAsia" w:hAnsiTheme="minorEastAsia"/>
          <w:b/>
          <w:bCs/>
          <w:color w:val="000000" w:themeColor="text1"/>
          <w:sz w:val="28"/>
          <w:szCs w:val="28"/>
          <w:lang w:eastAsia="zh-CN"/>
          <w14:textFill>
            <w14:solidFill>
              <w14:schemeClr w14:val="tx1"/>
            </w14:solidFill>
          </w14:textFill>
        </w:rPr>
      </w:pPr>
      <w:r>
        <w:rPr>
          <w:rFonts w:hint="eastAsia" w:cs="Times New Roman" w:asciiTheme="minorEastAsia" w:hAnsiTheme="minorEastAsia"/>
          <w:b/>
          <w:bCs/>
          <w:color w:val="000000" w:themeColor="text1"/>
          <w:sz w:val="28"/>
          <w:szCs w:val="28"/>
          <w:lang w:eastAsia="zh-CN"/>
          <w14:textFill>
            <w14:solidFill>
              <w14:schemeClr w14:val="tx1"/>
            </w14:solidFill>
          </w14:textFill>
        </w:rPr>
        <w:t xml:space="preserve">(1) 作品说明书 </w:t>
      </w:r>
    </w:p>
    <w:p w14:paraId="18BA2CB6">
      <w:pPr>
        <w:tabs>
          <w:tab w:val="left" w:pos="1620"/>
        </w:tabs>
        <w:spacing w:after="0" w:line="360" w:lineRule="auto"/>
        <w:ind w:left="-2" w:leftChars="-1" w:firstLine="480" w:firstLineChars="200"/>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作品说明书要求见“参赛作品复赛提交要求”中的模板1。</w:t>
      </w:r>
    </w:p>
    <w:p w14:paraId="3951F9A4">
      <w:pPr>
        <w:tabs>
          <w:tab w:val="left" w:pos="1620"/>
        </w:tabs>
        <w:spacing w:before="60" w:beforeLines="25" w:after="60" w:afterLines="25" w:line="300" w:lineRule="auto"/>
        <w:rPr>
          <w:rFonts w:hint="eastAsia" w:cs="Times New Roman" w:asciiTheme="minorEastAsia" w:hAnsiTheme="minorEastAsia"/>
          <w:b/>
          <w:bCs/>
          <w:color w:val="000000" w:themeColor="text1"/>
          <w:sz w:val="28"/>
          <w:szCs w:val="28"/>
          <w:lang w:eastAsia="zh-CN"/>
          <w14:textFill>
            <w14:solidFill>
              <w14:schemeClr w14:val="tx1"/>
            </w14:solidFill>
          </w14:textFill>
        </w:rPr>
      </w:pPr>
      <w:r>
        <w:rPr>
          <w:rFonts w:hint="eastAsia" w:cs="Times New Roman" w:asciiTheme="minorEastAsia" w:hAnsiTheme="minorEastAsia"/>
          <w:b/>
          <w:bCs/>
          <w:color w:val="000000" w:themeColor="text1"/>
          <w:sz w:val="28"/>
          <w:szCs w:val="28"/>
          <w:lang w:eastAsia="zh-CN"/>
          <w14:textFill>
            <w14:solidFill>
              <w14:schemeClr w14:val="tx1"/>
            </w14:solidFill>
          </w14:textFill>
        </w:rPr>
        <w:t xml:space="preserve">(2) 运行视频 </w:t>
      </w:r>
    </w:p>
    <w:p w14:paraId="2F43B725">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pPr>
      <w:r>
        <w:t>依</w:t>
      </w:r>
      <w:r>
        <w:rPr>
          <w:rFonts w:hint="eastAsia"/>
        </w:rPr>
        <w:t>按智能低空消防赛项命题与运行中</w:t>
      </w:r>
      <w:r>
        <w:rPr>
          <w:rFonts w:hint="eastAsia" w:cs="Times New Roman" w:asciiTheme="minorEastAsia" w:hAnsiTheme="minorEastAsia"/>
          <w:bCs/>
          <w:color w:val="000000" w:themeColor="text1"/>
          <w:sz w:val="24"/>
          <w:szCs w:val="24"/>
          <w:lang w:eastAsia="zh-CN"/>
          <w14:textFill>
            <w14:solidFill>
              <w14:schemeClr w14:val="tx1"/>
            </w14:solidFill>
          </w14:textFill>
        </w:rPr>
        <w:t>“决赛第一阶段</w:t>
      </w:r>
      <w:r>
        <w:rPr>
          <w:rFonts w:hint="eastAsia" w:cs="Times New Roman" w:asciiTheme="minorEastAsia" w:hAnsiTheme="minorEastAsia"/>
          <w:bCs/>
          <w:color w:val="000000" w:themeColor="text1"/>
          <w:sz w:val="24"/>
          <w:szCs w:val="24"/>
          <w:lang w:val="en-US" w:eastAsia="zh-CN"/>
          <w14:textFill>
            <w14:solidFill>
              <w14:schemeClr w14:val="tx1"/>
            </w14:solidFill>
          </w14:textFill>
        </w:rPr>
        <w:t>现场比赛</w:t>
      </w:r>
      <w:r>
        <w:rPr>
          <w:rFonts w:hint="eastAsia" w:cs="Times New Roman" w:asciiTheme="minorEastAsia" w:hAnsiTheme="minorEastAsia"/>
          <w:bCs/>
          <w:color w:val="000000" w:themeColor="text1"/>
          <w:sz w:val="24"/>
          <w:szCs w:val="24"/>
          <w:lang w:eastAsia="zh-CN"/>
          <w14:textFill>
            <w14:solidFill>
              <w14:schemeClr w14:val="tx1"/>
            </w14:solidFill>
          </w14:textFill>
        </w:rPr>
        <w:t>”</w:t>
      </w:r>
      <w:r>
        <w:rPr>
          <w:rFonts w:hint="eastAsia"/>
        </w:rPr>
        <w:t>要求拍摄作品运行视频。视频应具有两块有效内容区域，第一区域为无人机飞行展示视频，第二区域为电脑程序运行画面(视频画面可参考视频案例展示)。有效视频时间为5分钟内，如视频时间超过5分钟的，任务失败。</w:t>
      </w:r>
    </w:p>
    <w:p w14:paraId="784C0B5F">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rPr>
      </w:pPr>
      <w:r>
        <w:rPr>
          <w:rFonts w:hint="eastAsia"/>
        </w:rPr>
        <w:t>视频需要设置2个拍摄视角点且需同步，分别为全景拍摄点（拍摄要求：作品运行时查看赛道所有情况，完全同步的全景视频，两者不同步不计分）和近距离跟随作品运行拍摄点（拍摄要求：作品运行时的过程拍摄全面、连续视频中断和剪辑者，中断点后不计分）。</w:t>
      </w:r>
    </w:p>
    <w:p w14:paraId="06AC3BE1">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rPr>
      </w:pPr>
      <w:r>
        <w:rPr>
          <w:rFonts w:hint="eastAsia"/>
        </w:rPr>
        <w:t>视频格式要求：只提交1个视频，全景拍摄点和跟随作品运行拍摄点的视频需合成在一个画面中（2个画面需同步），其中全景拍摄点视频</w:t>
      </w:r>
      <w:r>
        <w:rPr>
          <w:rFonts w:hint="eastAsia"/>
          <w:lang w:val="en-US" w:eastAsia="zh-CN"/>
        </w:rPr>
        <w:t>约</w:t>
      </w:r>
      <w:r>
        <w:rPr>
          <w:rFonts w:hint="eastAsia"/>
        </w:rPr>
        <w:t>占画面1/3，跟随作品运行拍摄点</w:t>
      </w:r>
      <w:r>
        <w:rPr>
          <w:rFonts w:hint="eastAsia"/>
          <w:lang w:val="en-US" w:eastAsia="zh-CN"/>
        </w:rPr>
        <w:t>约</w:t>
      </w:r>
      <w:r>
        <w:rPr>
          <w:rFonts w:hint="eastAsia"/>
        </w:rPr>
        <w:t xml:space="preserve">占画面2/3，MP4格式，图像清晰稳定，声音清楚，时长不得超过5分钟，视频文件应小于500M，应确保视频容易打开，视频打不开的相关评价成绩为 0 分。    </w:t>
      </w:r>
    </w:p>
    <w:p w14:paraId="48B73D1D">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rPr>
      </w:pPr>
      <w:r>
        <w:rPr>
          <w:rFonts w:hint="eastAsia"/>
        </w:rPr>
        <w:t xml:space="preserve">评审时，依据现场初赛的评分方法对运行视频进行评分，运行等要求与现场初赛相同。对于作品出现外形或内部结构雷同（组织相关人员进行评估）、该项或相关评价成绩 0 分。 </w:t>
      </w:r>
    </w:p>
    <w:p w14:paraId="0AFB65B9">
      <w:pPr>
        <w:tabs>
          <w:tab w:val="left" w:pos="1620"/>
        </w:tabs>
        <w:spacing w:after="0" w:line="360" w:lineRule="auto"/>
        <w:ind w:left="-2" w:leftChars="-1" w:firstLine="480" w:firstLineChars="200"/>
        <w:rPr>
          <w:rFonts w:hint="eastAsia" w:cs="Times New Roman" w:asciiTheme="minorEastAsia" w:hAnsiTheme="minorEastAsia"/>
          <w:b/>
          <w:color w:val="000000" w:themeColor="text1"/>
          <w:sz w:val="24"/>
          <w:szCs w:val="24"/>
          <w:u w:val="none"/>
          <w:lang w:eastAsia="zh-CN"/>
          <w14:textFill>
            <w14:solidFill>
              <w14:schemeClr w14:val="tx1"/>
            </w14:solidFill>
          </w14:textFill>
        </w:rPr>
      </w:pPr>
      <w:r>
        <w:rPr>
          <w:rFonts w:hint="eastAsia" w:cs="Times New Roman" w:asciiTheme="minorEastAsia" w:hAnsiTheme="minorEastAsia"/>
          <w:b/>
          <w:color w:val="000000" w:themeColor="text1"/>
          <w:sz w:val="24"/>
          <w:szCs w:val="24"/>
          <w:u w:val="none"/>
          <w:lang w:eastAsia="zh-CN"/>
          <w14:textFill>
            <w14:solidFill>
              <w14:schemeClr w14:val="tx1"/>
            </w14:solidFill>
          </w14:textFill>
        </w:rPr>
        <w:t>所有文档材料均为PDF格式，视频材料均为MP4格式，为了评审的公平性，除报名表外，所提交的项目材料中不得出现参赛学校、参赛队员和指导教师的任何信息。</w:t>
      </w:r>
    </w:p>
    <w:p w14:paraId="4291D2A6">
      <w:pPr>
        <w:tabs>
          <w:tab w:val="left" w:pos="1620"/>
        </w:tabs>
        <w:spacing w:after="0" w:line="360" w:lineRule="auto"/>
        <w:rPr>
          <w:rFonts w:hint="eastAsia" w:cs="Times New Roman" w:asciiTheme="minorEastAsia" w:hAnsiTheme="minorEastAsia"/>
          <w:b/>
          <w:color w:val="000000" w:themeColor="text1"/>
          <w:sz w:val="24"/>
          <w:szCs w:val="24"/>
          <w:u w:val="none"/>
          <w:lang w:eastAsia="zh-CN"/>
          <w14:textFill>
            <w14:solidFill>
              <w14:schemeClr w14:val="tx1"/>
            </w14:solidFill>
          </w14:textFill>
        </w:rPr>
      </w:pPr>
    </w:p>
    <w:p w14:paraId="78B636E9">
      <w:pPr>
        <w:tabs>
          <w:tab w:val="left" w:pos="1620"/>
        </w:tabs>
        <w:spacing w:before="60" w:beforeLines="25" w:after="60" w:afterLines="25" w:line="300" w:lineRule="auto"/>
        <w:jc w:val="both"/>
        <w:rPr>
          <w:rFonts w:hint="eastAsia" w:cs="Times New Roman" w:asciiTheme="minorEastAsia" w:hAnsiTheme="minorEastAsia"/>
          <w:b/>
          <w:bCs/>
          <w:color w:val="000000" w:themeColor="text1"/>
          <w:kern w:val="2"/>
          <w:sz w:val="28"/>
          <w:szCs w:val="28"/>
          <w:lang w:eastAsia="zh-CN"/>
          <w14:textFill>
            <w14:solidFill>
              <w14:schemeClr w14:val="tx1"/>
            </w14:solidFill>
          </w14:textFill>
        </w:rPr>
      </w:pPr>
      <w:r>
        <w:rPr>
          <w:rFonts w:hint="eastAsia" w:cs="Times New Roman" w:asciiTheme="minorEastAsia" w:hAnsiTheme="minorEastAsia"/>
          <w:b/>
          <w:bCs/>
          <w:color w:val="000000" w:themeColor="text1"/>
          <w:kern w:val="2"/>
          <w:sz w:val="28"/>
          <w:szCs w:val="28"/>
          <w:lang w:eastAsia="zh-CN"/>
          <w14:textFill>
            <w14:solidFill>
              <w14:schemeClr w14:val="tx1"/>
            </w14:solidFill>
          </w14:textFill>
        </w:rPr>
        <w:t>（二）决赛</w:t>
      </w:r>
    </w:p>
    <w:p w14:paraId="0165888D">
      <w:pPr>
        <w:tabs>
          <w:tab w:val="left" w:pos="1620"/>
        </w:tabs>
        <w:spacing w:line="360" w:lineRule="auto"/>
        <w:rPr>
          <w:rFonts w:hint="eastAsia" w:cs="Times New Roman" w:asciiTheme="minorEastAsia" w:hAnsiTheme="minorEastAsia"/>
          <w:b/>
          <w:bCs/>
          <w:color w:val="000000" w:themeColor="text1"/>
          <w:kern w:val="2"/>
          <w:sz w:val="28"/>
          <w:szCs w:val="28"/>
          <w:lang w:eastAsia="zh-CN"/>
          <w14:textFill>
            <w14:solidFill>
              <w14:schemeClr w14:val="tx1"/>
            </w14:solidFill>
          </w14:textFill>
        </w:rPr>
      </w:pPr>
      <w:r>
        <w:rPr>
          <w:rFonts w:cs="Times New Roman" w:asciiTheme="minorEastAsia" w:hAnsiTheme="minorEastAsia"/>
          <w:b/>
          <w:bCs/>
          <w:color w:val="000000" w:themeColor="text1"/>
          <w:kern w:val="2"/>
          <w:sz w:val="28"/>
          <w:szCs w:val="28"/>
          <w:lang w:eastAsia="zh-CN"/>
          <w14:textFill>
            <w14:solidFill>
              <w14:schemeClr w14:val="tx1"/>
            </w14:solidFill>
          </w14:textFill>
        </w:rPr>
        <w:t>1</w:t>
      </w:r>
      <w:r>
        <w:rPr>
          <w:rFonts w:hint="eastAsia" w:cs="Times New Roman" w:asciiTheme="minorEastAsia" w:hAnsiTheme="minorEastAsia"/>
          <w:b/>
          <w:bCs/>
          <w:color w:val="000000" w:themeColor="text1"/>
          <w:kern w:val="2"/>
          <w:sz w:val="28"/>
          <w:szCs w:val="28"/>
          <w:lang w:eastAsia="zh-CN"/>
          <w14:textFill>
            <w14:solidFill>
              <w14:schemeClr w14:val="tx1"/>
            </w14:solidFill>
          </w14:textFill>
        </w:rPr>
        <w:t>）决赛第一阶段</w:t>
      </w:r>
    </w:p>
    <w:p w14:paraId="2F343F19">
      <w:pPr>
        <w:tabs>
          <w:tab w:val="left" w:pos="1620"/>
        </w:tabs>
        <w:spacing w:before="60" w:beforeLines="25" w:after="60" w:afterLines="25" w:line="300" w:lineRule="auto"/>
        <w:rPr>
          <w:rFonts w:hint="eastAsia" w:cs="Times New Roman" w:asciiTheme="minorEastAsia" w:hAnsiTheme="minorEastAsia"/>
          <w:b/>
          <w:bCs/>
          <w:color w:val="000000" w:themeColor="text1"/>
          <w:sz w:val="28"/>
          <w:szCs w:val="28"/>
          <w:lang w:eastAsia="zh-CN"/>
          <w14:textFill>
            <w14:solidFill>
              <w14:schemeClr w14:val="tx1"/>
            </w14:solidFill>
          </w14:textFill>
        </w:rPr>
      </w:pPr>
      <w:r>
        <w:rPr>
          <w:rFonts w:hint="eastAsia" w:cs="Times New Roman" w:asciiTheme="minorEastAsia" w:hAnsiTheme="minorEastAsia"/>
          <w:b/>
          <w:bCs/>
          <w:color w:val="000000" w:themeColor="text1"/>
          <w:sz w:val="28"/>
          <w:szCs w:val="28"/>
          <w:lang w:eastAsia="zh-CN"/>
          <w14:textFill>
            <w14:solidFill>
              <w14:schemeClr w14:val="tx1"/>
            </w14:solidFill>
          </w14:textFill>
        </w:rPr>
        <w:t>（1）作品说明书</w:t>
      </w:r>
    </w:p>
    <w:p w14:paraId="02656C91">
      <w:pPr>
        <w:tabs>
          <w:tab w:val="left" w:pos="1620"/>
        </w:tabs>
        <w:spacing w:after="0" w:line="360" w:lineRule="auto"/>
        <w:ind w:left="-2" w:leftChars="-1" w:firstLine="480" w:firstLineChars="200"/>
        <w:jc w:val="both"/>
        <w:rPr>
          <w:rFonts w:hint="eastAsia" w:cs="Times New Roman" w:asciiTheme="minorEastAsia" w:hAnsiTheme="minorEastAsia"/>
          <w:bCs/>
          <w:sz w:val="24"/>
          <w:szCs w:val="24"/>
          <w:lang w:eastAsia="zh-CN"/>
        </w:rPr>
      </w:pPr>
      <w:r>
        <w:rPr>
          <w:rFonts w:hint="eastAsia" w:cs="Times New Roman" w:asciiTheme="minorEastAsia" w:hAnsiTheme="minorEastAsia"/>
          <w:bCs/>
          <w:sz w:val="24"/>
          <w:szCs w:val="24"/>
          <w:lang w:val="en-US" w:eastAsia="zh-CN"/>
        </w:rPr>
        <w:t>作品说明书</w:t>
      </w:r>
      <w:r>
        <w:rPr>
          <w:rFonts w:hint="eastAsia" w:cs="Times New Roman" w:asciiTheme="minorEastAsia" w:hAnsiTheme="minorEastAsia"/>
          <w:bCs/>
          <w:sz w:val="24"/>
          <w:szCs w:val="24"/>
        </w:rPr>
        <w:t>按照</w:t>
      </w:r>
      <w:r>
        <w:rPr>
          <w:rFonts w:cs="Times New Roman" w:asciiTheme="minorEastAsia" w:hAnsiTheme="minorEastAsia"/>
          <w:bCs/>
          <w:sz w:val="24"/>
          <w:szCs w:val="24"/>
        </w:rPr>
        <w:t>文档</w:t>
      </w:r>
      <w:r>
        <w:rPr>
          <w:rFonts w:hint="eastAsia" w:cs="Times New Roman" w:asciiTheme="minorEastAsia" w:hAnsiTheme="minorEastAsia"/>
          <w:bCs/>
          <w:sz w:val="24"/>
          <w:szCs w:val="24"/>
        </w:rPr>
        <w:t>模板要求</w:t>
      </w:r>
      <w:r>
        <w:rPr>
          <w:rFonts w:hint="eastAsia" w:cs="Times New Roman" w:asciiTheme="minorEastAsia" w:hAnsiTheme="minorEastAsia"/>
          <w:bCs/>
          <w:sz w:val="24"/>
          <w:szCs w:val="24"/>
          <w:lang w:val="en-US" w:eastAsia="zh-CN"/>
        </w:rPr>
        <w:t>书写</w:t>
      </w:r>
      <w:r>
        <w:rPr>
          <w:rFonts w:hint="eastAsia" w:cs="Times New Roman" w:asciiTheme="minorEastAsia" w:hAnsiTheme="minorEastAsia"/>
          <w:bCs/>
          <w:sz w:val="24"/>
          <w:szCs w:val="24"/>
          <w:lang w:eastAsia="zh-CN"/>
        </w:rPr>
        <w:t>，成绩判定不仅包括作品说明书的内容质量符合命题规则的程度，也包括文档的排版规范。</w:t>
      </w:r>
    </w:p>
    <w:p w14:paraId="0802A46C">
      <w:pPr>
        <w:tabs>
          <w:tab w:val="left" w:pos="1620"/>
        </w:tabs>
        <w:spacing w:before="60" w:beforeLines="25" w:after="60" w:afterLines="25" w:line="300" w:lineRule="auto"/>
        <w:rPr>
          <w:rFonts w:hint="default" w:cs="Times New Roman" w:asciiTheme="minorEastAsia" w:hAnsiTheme="minorEastAsia"/>
          <w:b/>
          <w:bCs/>
          <w:color w:val="000000" w:themeColor="text1"/>
          <w:sz w:val="28"/>
          <w:szCs w:val="28"/>
          <w:lang w:val="en-US" w:eastAsia="zh-CN"/>
          <w14:textFill>
            <w14:solidFill>
              <w14:schemeClr w14:val="tx1"/>
            </w14:solidFill>
          </w14:textFill>
        </w:rPr>
      </w:pPr>
      <w:r>
        <w:rPr>
          <w:rFonts w:hint="eastAsia" w:cs="Times New Roman" w:asciiTheme="minorEastAsia" w:hAnsiTheme="minorEastAsia"/>
          <w:b/>
          <w:bCs/>
          <w:color w:val="000000" w:themeColor="text1"/>
          <w:sz w:val="28"/>
          <w:szCs w:val="28"/>
          <w:lang w:eastAsia="zh-CN"/>
          <w14:textFill>
            <w14:solidFill>
              <w14:schemeClr w14:val="tx1"/>
            </w14:solidFill>
          </w14:textFill>
        </w:rPr>
        <w:t>（2）</w:t>
      </w:r>
      <w:r>
        <w:rPr>
          <w:rFonts w:hint="eastAsia" w:cs="Times New Roman" w:asciiTheme="minorEastAsia" w:hAnsiTheme="minorEastAsia"/>
          <w:b/>
          <w:bCs/>
          <w:color w:val="000000" w:themeColor="text1"/>
          <w:sz w:val="28"/>
          <w:szCs w:val="28"/>
          <w:lang w:val="en-US" w:eastAsia="zh-CN"/>
          <w14:textFill>
            <w14:solidFill>
              <w14:schemeClr w14:val="tx1"/>
            </w14:solidFill>
          </w14:textFill>
        </w:rPr>
        <w:t>决赛</w:t>
      </w:r>
      <w:r>
        <w:rPr>
          <w:rFonts w:hint="eastAsia" w:cs="Times New Roman" w:asciiTheme="minorEastAsia" w:hAnsiTheme="minorEastAsia"/>
          <w:b/>
          <w:bCs/>
          <w:color w:val="000000" w:themeColor="text1"/>
          <w:sz w:val="28"/>
          <w:szCs w:val="28"/>
          <w:lang w:eastAsia="zh-CN"/>
          <w14:textFill>
            <w14:solidFill>
              <w14:schemeClr w14:val="tx1"/>
            </w14:solidFill>
          </w14:textFill>
        </w:rPr>
        <w:t>第一阶段</w:t>
      </w:r>
      <w:r>
        <w:rPr>
          <w:rFonts w:hint="eastAsia" w:cs="Times New Roman" w:asciiTheme="minorEastAsia" w:hAnsiTheme="minorEastAsia"/>
          <w:b/>
          <w:bCs/>
          <w:color w:val="000000" w:themeColor="text1"/>
          <w:sz w:val="28"/>
          <w:szCs w:val="28"/>
          <w:lang w:val="en-US" w:eastAsia="zh-CN"/>
          <w14:textFill>
            <w14:solidFill>
              <w14:schemeClr w14:val="tx1"/>
            </w14:solidFill>
          </w14:textFill>
        </w:rPr>
        <w:t>现场比赛</w:t>
      </w:r>
    </w:p>
    <w:p w14:paraId="24FB8568">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pPr>
      <w:r>
        <w:t>依据抽签确定的现场比赛上场顺序和现场使用的场地数进行检录，并现场抽签确定各参赛队现场比赛的场地编号。</w:t>
      </w:r>
    </w:p>
    <w:p w14:paraId="3135F0E2">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pPr>
      <w:r>
        <w:t>参赛队进入比赛场地，</w:t>
      </w:r>
      <w:r>
        <w:rPr>
          <w:rFonts w:hint="eastAsia"/>
          <w:b/>
          <w:bCs/>
          <w:color w:val="FF0000"/>
          <w:lang w:val="en-US" w:eastAsia="zh-CN"/>
        </w:rPr>
        <w:t>比赛总时长为10分钟（含调试时间及2次比赛机会）</w:t>
      </w:r>
      <w:r>
        <w:rPr>
          <w:rFonts w:hint="eastAsia"/>
          <w:lang w:val="en-US" w:eastAsia="zh-CN"/>
        </w:rPr>
        <w:t>，</w:t>
      </w:r>
      <w:r>
        <w:t>裁判统一发令，参赛队对无人机进行调试及飞行前检查，调试期间不允许更换任何零部件。</w:t>
      </w:r>
      <w:r>
        <w:rPr>
          <w:rFonts w:hint="eastAsia"/>
          <w:lang w:val="en-US" w:eastAsia="zh-CN"/>
        </w:rPr>
        <w:t>调试完成后</w:t>
      </w:r>
      <w:r>
        <w:t>参赛队将消防物资和救援物资装载到无人机上，然后将无人机放置起飞区。同时抽签确定随机障碍物、人员救助任务区的摆放位置、危险品警告标志的种类及摆放位置，工作人员根据抽签结果进行摆放。</w:t>
      </w:r>
      <w:r>
        <w:rPr>
          <w:rFonts w:hint="eastAsia"/>
          <w:lang w:val="en-US" w:eastAsia="zh-CN"/>
        </w:rPr>
        <w:t>抽签完成后</w:t>
      </w:r>
      <w:r>
        <w:t>参赛队启动录屏软件，由现场裁判发出统一开始指令，计时开始。各参赛队必须采用“笔记本电脑一键式”启动方式启动无人机。启动后，无人机自主起飞，规划路径，绕过障碍物，首先到达危险品任务区，无人机悬停在危险品任务区上方，对任务区内设置的两个目标进行识别，识别后对正确危险品目标在回传画面中采用红色框进行标注，标注后无人机向正确目标投放消防物资。无人机完成上述任务后，自主绕过障碍物并规划路径，进入人员救助任务区。无人机悬停在人员救助任务区上方，发现并识别受伤人员目标，并在回传画面中采用蓝色框进行标注，</w:t>
      </w:r>
      <w:r>
        <w:rPr>
          <w:rFonts w:hint="eastAsia"/>
        </w:rPr>
        <w:t>标注完成后（无需投放救助物资）</w:t>
      </w:r>
      <w:r>
        <w:t>，无人机返航，自主返回起飞点，降落并停止螺旋桨旋转后，现场裁判结束计时，比赛结束。</w:t>
      </w:r>
    </w:p>
    <w:p w14:paraId="528E4637">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pPr>
      <w:r>
        <w:t>各参赛队有两次运行机会，取两次现场运行的最好成绩作为现场比赛成绩。</w:t>
      </w:r>
    </w:p>
    <w:p w14:paraId="6C6A6E9A">
      <w:pPr>
        <w:tabs>
          <w:tab w:val="left" w:pos="1620"/>
        </w:tabs>
        <w:spacing w:after="0" w:line="360" w:lineRule="auto"/>
        <w:ind w:left="-2" w:leftChars="-1" w:firstLine="480" w:firstLineChars="200"/>
        <w:jc w:val="both"/>
        <w:rPr>
          <w:rFonts w:hint="eastAsia" w:cs="Times New Roman" w:asciiTheme="minorEastAsia" w:hAnsiTheme="minorEastAsia"/>
          <w:bCs/>
          <w:color w:val="000000" w:themeColor="text1"/>
          <w:sz w:val="24"/>
          <w:szCs w:val="24"/>
          <w:lang w:eastAsia="zh-CN"/>
          <w14:textFill>
            <w14:solidFill>
              <w14:schemeClr w14:val="tx1"/>
            </w14:solidFill>
          </w14:textFill>
        </w:rPr>
      </w:pPr>
      <w:r>
        <w:rPr>
          <w:rFonts w:hint="eastAsia" w:cs="Times New Roman" w:asciiTheme="minorEastAsia" w:hAnsiTheme="minorEastAsia"/>
          <w:bCs/>
          <w:color w:val="000000" w:themeColor="text1"/>
          <w:sz w:val="24"/>
          <w:szCs w:val="24"/>
          <w:lang w:eastAsia="zh-CN"/>
          <w14:textFill>
            <w14:solidFill>
              <w14:schemeClr w14:val="tx1"/>
            </w14:solidFill>
          </w14:textFill>
        </w:rPr>
        <w:t>按决赛第一阶段总成绩对参加决赛第一阶段的参赛队进行排名</w:t>
      </w:r>
      <w:r>
        <w:rPr>
          <w:rFonts w:cs="Times New Roman" w:asciiTheme="minorEastAsia" w:hAnsiTheme="minorEastAsia"/>
          <w:bCs/>
          <w:color w:val="000000" w:themeColor="text1"/>
          <w:sz w:val="24"/>
          <w:szCs w:val="24"/>
          <w:lang w:eastAsia="zh-CN"/>
          <w14:textFill>
            <w14:solidFill>
              <w14:schemeClr w14:val="tx1"/>
            </w14:solidFill>
          </w14:textFill>
        </w:rPr>
        <w:t>，</w:t>
      </w:r>
      <w:r>
        <w:rPr>
          <w:rFonts w:hint="eastAsia" w:cs="Times New Roman" w:asciiTheme="minorEastAsia" w:hAnsiTheme="minorEastAsia"/>
          <w:bCs/>
          <w:color w:val="000000" w:themeColor="text1"/>
          <w:sz w:val="24"/>
          <w:szCs w:val="24"/>
          <w:lang w:eastAsia="zh-CN"/>
          <w14:textFill>
            <w14:solidFill>
              <w14:schemeClr w14:val="tx1"/>
            </w14:solidFill>
          </w14:textFill>
        </w:rPr>
        <w:t>若参赛队决赛第一阶段总成绩相同，则按现场决赛第一阶段成绩得分高者优先排序。如无法区分排序，按运行时间（完成全部任务）短优先排序。如仍旧无法区分排序，则抽签决定。</w:t>
      </w:r>
    </w:p>
    <w:p w14:paraId="1A4AD68A">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pPr>
    </w:p>
    <w:p w14:paraId="46861A24">
      <w:pPr>
        <w:tabs>
          <w:tab w:val="left" w:pos="1620"/>
        </w:tabs>
        <w:spacing w:line="360" w:lineRule="auto"/>
        <w:rPr>
          <w:rFonts w:hint="eastAsia" w:cs="Times New Roman" w:asciiTheme="minorEastAsia" w:hAnsiTheme="minorEastAsia"/>
          <w:b/>
          <w:bCs/>
          <w:color w:val="000000" w:themeColor="text1"/>
          <w:kern w:val="2"/>
          <w:sz w:val="28"/>
          <w:szCs w:val="28"/>
          <w:lang w:eastAsia="zh-CN"/>
          <w14:textFill>
            <w14:solidFill>
              <w14:schemeClr w14:val="tx1"/>
            </w14:solidFill>
          </w14:textFill>
        </w:rPr>
      </w:pPr>
      <w:r>
        <w:rPr>
          <w:rFonts w:hint="eastAsia" w:cs="Times New Roman" w:asciiTheme="minorEastAsia" w:hAnsiTheme="minorEastAsia"/>
          <w:b/>
          <w:bCs/>
          <w:color w:val="000000" w:themeColor="text1"/>
          <w:kern w:val="2"/>
          <w:sz w:val="28"/>
          <w:szCs w:val="28"/>
          <w:lang w:eastAsia="zh-CN"/>
          <w14:textFill>
            <w14:solidFill>
              <w14:schemeClr w14:val="tx1"/>
            </w14:solidFill>
          </w14:textFill>
        </w:rPr>
        <w:t>2）决赛第二阶段</w:t>
      </w:r>
    </w:p>
    <w:p w14:paraId="0DC5EF88">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pPr>
      <w:r>
        <w:t>依据抽签确定的现场比赛上场顺序和现场使用的场地数进行检录，并现场抽签确定各参赛队现场比赛的场地编号。</w:t>
      </w:r>
    </w:p>
    <w:p w14:paraId="6D5833CE">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pPr>
      <w:r>
        <w:t>参赛队进入比赛场地，</w:t>
      </w:r>
      <w:r>
        <w:rPr>
          <w:rFonts w:hint="eastAsia"/>
          <w:lang w:val="en-US" w:eastAsia="zh-CN"/>
        </w:rPr>
        <w:t>比赛总时长为10分钟（含调试时间及2次比赛机会），</w:t>
      </w:r>
      <w:r>
        <w:t>裁判统一发令，参赛队对无人机进行调试及飞行前检查，调试期间不允许更换任何零部件。</w:t>
      </w:r>
      <w:r>
        <w:rPr>
          <w:rFonts w:hint="eastAsia"/>
          <w:lang w:val="en-US" w:eastAsia="zh-CN"/>
        </w:rPr>
        <w:t>调试完成后</w:t>
      </w:r>
      <w:r>
        <w:t>参赛队将消防物资和救援物资装载到无人机上，然后将无人机放置起飞区。同时抽签确定随机障碍物、人员救助任务区的摆放位置、危险品警告标志的种类及摆放位置，工作人员根据抽签结果进行摆放。</w:t>
      </w:r>
      <w:r>
        <w:rPr>
          <w:rFonts w:hint="eastAsia"/>
          <w:lang w:val="en-US" w:eastAsia="zh-CN"/>
        </w:rPr>
        <w:t>抽签完成后</w:t>
      </w:r>
      <w:r>
        <w:t>参赛队启动录屏软件，由现场裁判发出统一开始指令，计时开始。各参赛队必须采用“笔记本电脑一键式”启动方式启动无人机。启动后，无人机自主起飞，规划路径，绕过障碍物，首先到达危险品任务区，无人机悬停在危险品任务区上方，对任务区内设置的两个目标进行识别，识别后对正确危险品目标在回传画面中采</w:t>
      </w:r>
      <w:bookmarkStart w:id="1" w:name="_GoBack"/>
      <w:bookmarkEnd w:id="1"/>
      <w:r>
        <w:t>用红色框进行标注，标注后无人机向正确目标投放消防物资。</w:t>
      </w:r>
    </w:p>
    <w:p w14:paraId="74607FB6">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pPr>
      <w:r>
        <w:t>无人机完成上述任务后，自主绕过障碍物并规划路径，进入人员救助任务区。无人机悬停在人员救助任务区上方，发现并识别受伤人员目标，并在回传画面中采用蓝色框进行标注，标注完成后进行救助物资投放</w:t>
      </w:r>
      <w:r>
        <w:rPr>
          <w:rFonts w:hint="eastAsia"/>
          <w:lang w:eastAsia="zh-CN"/>
        </w:rPr>
        <w:t>（</w:t>
      </w:r>
      <w:r>
        <w:rPr>
          <w:rFonts w:hint="eastAsia"/>
          <w:lang w:val="en-US" w:eastAsia="zh-CN"/>
        </w:rPr>
        <w:t>现场决赛中需投放救助物资</w:t>
      </w:r>
      <w:r>
        <w:rPr>
          <w:rFonts w:hint="eastAsia"/>
          <w:lang w:eastAsia="zh-CN"/>
        </w:rPr>
        <w:t>）</w:t>
      </w:r>
      <w:r>
        <w:t>。完成全部任务后，无人机返航，自主返回起飞点，降落并停止螺旋桨旋转后，现场裁判结束计时，比赛结束。</w:t>
      </w:r>
    </w:p>
    <w:p w14:paraId="75987580">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pPr>
      <w:r>
        <w:t>按比赛总成绩对参加比赛的参赛队进行排名，若参赛队比赛总成绩相同，则按现场比赛成绩得分高者优先排序。如无法区分排序，按运行时间（完成全部任务）短优先排序。如仍旧无法区分排序，则抽签决定排名顺序。</w:t>
      </w:r>
    </w:p>
    <w:p w14:paraId="39384842">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b/>
          <w:bCs/>
        </w:rPr>
      </w:pPr>
      <w:r>
        <w:rPr>
          <w:rFonts w:hint="eastAsia"/>
          <w:b/>
          <w:bCs/>
          <w:lang w:val="en-US" w:eastAsia="zh-CN"/>
        </w:rPr>
        <w:t>5</w:t>
      </w:r>
      <w:r>
        <w:rPr>
          <w:rFonts w:hint="eastAsia"/>
          <w:b/>
          <w:bCs/>
        </w:rPr>
        <w:t>、技术支持单位</w:t>
      </w:r>
    </w:p>
    <w:p w14:paraId="45103E22">
      <w:pPr>
        <w:pStyle w:val="3"/>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lang w:val="en-US" w:eastAsia="zh-CN"/>
        </w:rPr>
      </w:pPr>
      <w:r>
        <w:rPr>
          <w:rFonts w:hint="eastAsia"/>
          <w:lang w:val="en-US" w:eastAsia="zh-CN"/>
        </w:rPr>
        <w:t>技术支持单位：嘉创飞航（苏州）智能科技有限公司。</w:t>
      </w:r>
    </w:p>
    <w:sectPr>
      <w:pgSz w:w="11907" w:h="16839"/>
      <w:pgMar w:top="1440" w:right="1701" w:bottom="1440" w:left="1701" w:header="0" w:footer="0" w:gutter="0"/>
      <w:paperSrc/>
      <w:pgBorders>
        <w:top w:val="none" w:sz="0" w:space="0"/>
        <w:left w:val="none" w:sz="0" w:space="0"/>
        <w:bottom w:val="none" w:sz="0" w:space="0"/>
        <w:right w:val="none" w:sz="0" w:space="0"/>
      </w:pgBorders>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23E3FA"/>
    <w:multiLevelType w:val="singleLevel"/>
    <w:tmpl w:val="CC23E3FA"/>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8F0B1E"/>
    <w:rsid w:val="0A2368BD"/>
    <w:rsid w:val="0CEE6D0E"/>
    <w:rsid w:val="1BB90E2F"/>
    <w:rsid w:val="1C4B21DE"/>
    <w:rsid w:val="21071C67"/>
    <w:rsid w:val="21BC2F68"/>
    <w:rsid w:val="224439AE"/>
    <w:rsid w:val="248F6F08"/>
    <w:rsid w:val="249629A1"/>
    <w:rsid w:val="282E409A"/>
    <w:rsid w:val="2DF1306D"/>
    <w:rsid w:val="2F4309AC"/>
    <w:rsid w:val="33BF35DE"/>
    <w:rsid w:val="34187D16"/>
    <w:rsid w:val="36DD37CC"/>
    <w:rsid w:val="386E00AD"/>
    <w:rsid w:val="39B851A8"/>
    <w:rsid w:val="3C6E41FF"/>
    <w:rsid w:val="45232CF2"/>
    <w:rsid w:val="4577128F"/>
    <w:rsid w:val="48203232"/>
    <w:rsid w:val="49425690"/>
    <w:rsid w:val="4EE71234"/>
    <w:rsid w:val="4F675ED1"/>
    <w:rsid w:val="511A71C3"/>
    <w:rsid w:val="5E0263BC"/>
    <w:rsid w:val="5F446171"/>
    <w:rsid w:val="61EA4E6B"/>
    <w:rsid w:val="687C7E09"/>
    <w:rsid w:val="6C2F06D8"/>
    <w:rsid w:val="6FFD6C0C"/>
    <w:rsid w:val="71521CF8"/>
    <w:rsid w:val="71753DE4"/>
    <w:rsid w:val="759B3BA2"/>
    <w:rsid w:val="7E2413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rPr>
      <w:rFonts w:ascii="宋体" w:hAnsi="宋体" w:eastAsia="宋体" w:cs="宋体"/>
      <w:sz w:val="24"/>
      <w:szCs w:val="24"/>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3846</Words>
  <Characters>3947</Characters>
  <TotalTime>0</TotalTime>
  <ScaleCrop>false</ScaleCrop>
  <LinksUpToDate>false</LinksUpToDate>
  <CharactersWithSpaces>4000</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2026-06-18T09:22:00Z</dcterms:created>
  <dc:creator>Administrator</dc:creator>
  <cp:lastModifiedBy>钱俊</cp:lastModifiedBy>
  <dcterms:modified xsi:type="dcterms:W3CDTF">2026-07-12T04:31:00Z</dcterms:modified>
  <dc:title>Microsoft Word - 2026t,AﬂJ
w_x0002_å_x000B_žõ_x000E_˙°ýł'[zýNz‹2[y}Ÿ_x000E_ÐL_x0008_Ñ_x0003_?	(1)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2026-06-23T15:28:16Z</vt:filetime>
  </property>
  <property fmtid="{D5CDD505-2E9C-101B-9397-08002B2CF9AE}" pid="4" name="KSOTemplateDocerSaveRecord">
    <vt:lpwstr>eyJoZGlkIjoiMDM5ZjA4YzFjNzNjZGVjZTdlYzgzNTg0NmIyMTAzNzYiLCJ1c2VySWQiOiIxNjM3MTQxNzYyIn0=</vt:lpwstr>
  </property>
  <property fmtid="{D5CDD505-2E9C-101B-9397-08002B2CF9AE}" pid="5" name="KSOProductBuildVer">
    <vt:lpwstr>2052-12.1.0.23542</vt:lpwstr>
  </property>
  <property fmtid="{D5CDD505-2E9C-101B-9397-08002B2CF9AE}" pid="6" name="ICV">
    <vt:lpwstr>7F1C1515567344FCA530542D1A3B3E3A_13</vt:lpwstr>
  </property>
</Properties>
</file>