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6B4EB">
      <w:pPr>
        <w:keepNext w:val="0"/>
        <w:keepLines w:val="0"/>
        <w:pageBreakBefore w:val="0"/>
        <w:kinsoku/>
        <w:wordWrap/>
        <w:overflowPunct/>
        <w:topLinePunct w:val="0"/>
        <w:autoSpaceDE/>
        <w:autoSpaceDN/>
        <w:bidi w:val="0"/>
        <w:spacing w:line="580" w:lineRule="exact"/>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rPr>
        <w:t>附件1</w:t>
      </w:r>
    </w:p>
    <w:p w14:paraId="6A2A113A">
      <w:pPr>
        <w:keepNext w:val="0"/>
        <w:keepLines w:val="0"/>
        <w:pageBreakBefore w:val="0"/>
        <w:kinsoku/>
        <w:wordWrap/>
        <w:overflowPunct/>
        <w:topLinePunct w:val="0"/>
        <w:autoSpaceDE/>
        <w:autoSpaceDN/>
        <w:bidi w:val="0"/>
        <w:spacing w:line="580" w:lineRule="exact"/>
        <w:ind w:firstLine="640" w:firstLineChars="200"/>
        <w:jc w:val="center"/>
        <w:rPr>
          <w:rFonts w:hint="eastAsia" w:ascii="Times New Roman" w:hAnsi="Times New Roman" w:eastAsia="方正仿宋_GB2312" w:cs="方正仿宋_GB2312"/>
          <w:b w:val="0"/>
          <w:bCs w:val="0"/>
          <w:sz w:val="32"/>
          <w:szCs w:val="32"/>
          <w:highlight w:val="none"/>
        </w:rPr>
      </w:pPr>
    </w:p>
    <w:p w14:paraId="02368DED">
      <w:pPr>
        <w:keepNext w:val="0"/>
        <w:keepLines w:val="0"/>
        <w:pageBreakBefore w:val="0"/>
        <w:kinsoku/>
        <w:wordWrap/>
        <w:overflowPunct/>
        <w:topLinePunct w:val="0"/>
        <w:autoSpaceDE/>
        <w:autoSpaceDN/>
        <w:bidi w:val="0"/>
        <w:spacing w:line="580" w:lineRule="exact"/>
        <w:ind w:firstLine="880" w:firstLineChars="200"/>
        <w:jc w:val="both"/>
        <w:rPr>
          <w:rFonts w:hint="eastAsia" w:ascii="Times New Roman" w:hAnsi="Times New Roman" w:eastAsia="方正小标宋_GBK" w:cs="方正小标宋_GBK"/>
          <w:b w:val="0"/>
          <w:bCs w:val="0"/>
          <w:sz w:val="44"/>
          <w:szCs w:val="44"/>
          <w:highlight w:val="none"/>
        </w:rPr>
      </w:pPr>
      <w:r>
        <w:rPr>
          <w:rFonts w:hint="eastAsia" w:ascii="Times New Roman" w:hAnsi="Times New Roman" w:eastAsia="方正小标宋_GBK" w:cs="方正小标宋_GBK"/>
          <w:b w:val="0"/>
          <w:bCs w:val="0"/>
          <w:sz w:val="44"/>
          <w:szCs w:val="44"/>
          <w:highlight w:val="none"/>
        </w:rPr>
        <w:t>浙江省第</w:t>
      </w:r>
      <w:r>
        <w:rPr>
          <w:rFonts w:hint="eastAsia" w:ascii="Times New Roman" w:hAnsi="Times New Roman" w:eastAsia="方正小标宋_GBK" w:cs="方正小标宋_GBK"/>
          <w:b w:val="0"/>
          <w:bCs w:val="0"/>
          <w:sz w:val="44"/>
          <w:szCs w:val="44"/>
          <w:highlight w:val="none"/>
          <w:lang w:val="en-US" w:eastAsia="zh-CN"/>
        </w:rPr>
        <w:t>十六</w:t>
      </w:r>
      <w:r>
        <w:rPr>
          <w:rFonts w:hint="eastAsia" w:ascii="Times New Roman" w:hAnsi="Times New Roman" w:eastAsia="方正小标宋_GBK" w:cs="方正小标宋_GBK"/>
          <w:b w:val="0"/>
          <w:bCs w:val="0"/>
          <w:sz w:val="44"/>
          <w:szCs w:val="44"/>
          <w:highlight w:val="none"/>
        </w:rPr>
        <w:t>届会展策划创意大赛</w:t>
      </w:r>
    </w:p>
    <w:p w14:paraId="13C8EE22">
      <w:pPr>
        <w:keepNext w:val="0"/>
        <w:keepLines w:val="0"/>
        <w:pageBreakBefore w:val="0"/>
        <w:kinsoku/>
        <w:wordWrap/>
        <w:overflowPunct/>
        <w:topLinePunct w:val="0"/>
        <w:autoSpaceDE/>
        <w:autoSpaceDN/>
        <w:bidi w:val="0"/>
        <w:spacing w:line="580" w:lineRule="exact"/>
        <w:ind w:firstLine="3520" w:firstLineChars="800"/>
        <w:jc w:val="both"/>
        <w:rPr>
          <w:rFonts w:hint="eastAsia" w:ascii="Times New Roman" w:hAnsi="Times New Roman" w:eastAsia="方正小标宋_GBK" w:cs="方正小标宋_GBK"/>
          <w:b w:val="0"/>
          <w:bCs w:val="0"/>
          <w:sz w:val="44"/>
          <w:szCs w:val="44"/>
          <w:highlight w:val="none"/>
        </w:rPr>
      </w:pPr>
      <w:r>
        <w:rPr>
          <w:rFonts w:hint="eastAsia" w:ascii="Times New Roman" w:hAnsi="Times New Roman" w:eastAsia="方正小标宋_GBK" w:cs="方正小标宋_GBK"/>
          <w:b w:val="0"/>
          <w:bCs w:val="0"/>
          <w:sz w:val="44"/>
          <w:szCs w:val="44"/>
          <w:highlight w:val="none"/>
        </w:rPr>
        <w:t>实施细则</w:t>
      </w:r>
    </w:p>
    <w:p w14:paraId="2DE5D14A">
      <w:pPr>
        <w:keepNext w:val="0"/>
        <w:keepLines w:val="0"/>
        <w:pageBreakBefore w:val="0"/>
        <w:kinsoku/>
        <w:wordWrap/>
        <w:overflowPunct/>
        <w:topLinePunct w:val="0"/>
        <w:autoSpaceDE/>
        <w:autoSpaceDN/>
        <w:bidi w:val="0"/>
        <w:spacing w:line="580" w:lineRule="exact"/>
        <w:ind w:firstLine="3534" w:firstLineChars="800"/>
        <w:jc w:val="both"/>
        <w:rPr>
          <w:rFonts w:hint="eastAsia" w:ascii="Times New Roman" w:hAnsi="Times New Roman" w:eastAsia="方正小标宋_GBK" w:cs="方正小标宋_GBK"/>
          <w:b/>
          <w:bCs/>
          <w:sz w:val="44"/>
          <w:szCs w:val="44"/>
          <w:highlight w:val="none"/>
        </w:rPr>
      </w:pPr>
    </w:p>
    <w:p w14:paraId="07C694D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一、组织机构</w:t>
      </w:r>
    </w:p>
    <w:p w14:paraId="5C9CE42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本次竞赛由浙江省商务厅</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浙江省文化广电和旅游厅</w:t>
      </w:r>
      <w:r>
        <w:rPr>
          <w:rFonts w:hint="eastAsia" w:ascii="Times New Roman" w:hAnsi="Times New Roman" w:eastAsia="仿宋_GB2312" w:cs="仿宋_GB2312"/>
          <w:sz w:val="32"/>
          <w:szCs w:val="32"/>
          <w:highlight w:val="none"/>
          <w:lang w:val="en-US" w:eastAsia="zh-CN"/>
        </w:rPr>
        <w:t>共同指导，浙江省大学生科技竞赛委员会</w:t>
      </w:r>
      <w:r>
        <w:rPr>
          <w:rFonts w:hint="eastAsia" w:ascii="Times New Roman" w:hAnsi="Times New Roman" w:eastAsia="仿宋_GB2312" w:cs="仿宋_GB2312"/>
          <w:sz w:val="32"/>
          <w:szCs w:val="32"/>
          <w:highlight w:val="none"/>
        </w:rPr>
        <w:t>主办，</w:t>
      </w:r>
      <w:r>
        <w:rPr>
          <w:rFonts w:hint="eastAsia" w:ascii="Times New Roman" w:hAnsi="Times New Roman" w:eastAsia="仿宋_GB2312" w:cs="仿宋_GB2312"/>
          <w:sz w:val="32"/>
          <w:szCs w:val="32"/>
          <w:highlight w:val="none"/>
          <w:lang w:val="en-US" w:eastAsia="zh-CN"/>
        </w:rPr>
        <w:t>浙江传媒学院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杭州科技职业技术学院</w:t>
      </w:r>
      <w:r>
        <w:rPr>
          <w:rFonts w:hint="eastAsia" w:ascii="Times New Roman" w:hAnsi="Times New Roman" w:eastAsia="仿宋_GB2312" w:cs="仿宋_GB2312"/>
          <w:sz w:val="32"/>
          <w:szCs w:val="32"/>
          <w:highlight w:val="none"/>
          <w:lang w:val="en-US" w:eastAsia="zh-CN"/>
        </w:rPr>
        <w:t>共同</w:t>
      </w:r>
      <w:r>
        <w:rPr>
          <w:rFonts w:hint="eastAsia" w:ascii="Times New Roman" w:hAnsi="Times New Roman" w:eastAsia="仿宋_GB2312" w:cs="仿宋_GB2312"/>
          <w:sz w:val="32"/>
          <w:szCs w:val="32"/>
          <w:highlight w:val="none"/>
        </w:rPr>
        <w:t>承办。竞赛秘书处作为竞赛组委会办公室，</w:t>
      </w:r>
      <w:r>
        <w:rPr>
          <w:rFonts w:hint="eastAsia" w:ascii="Times New Roman" w:hAnsi="Times New Roman" w:eastAsia="仿宋_GB2312" w:cs="仿宋_GB2312"/>
          <w:color w:val="auto"/>
          <w:sz w:val="32"/>
          <w:szCs w:val="32"/>
          <w:highlight w:val="none"/>
        </w:rPr>
        <w:t>办公室设在浙江省国际会议展览业协会</w:t>
      </w:r>
      <w:r>
        <w:rPr>
          <w:rFonts w:hint="eastAsia" w:ascii="Times New Roman" w:hAnsi="Times New Roman" w:eastAsia="仿宋_GB2312" w:cs="仿宋_GB2312"/>
          <w:color w:val="auto"/>
          <w:sz w:val="32"/>
          <w:szCs w:val="32"/>
          <w:highlight w:val="none"/>
          <w:lang w:val="en-US" w:eastAsia="zh-CN"/>
        </w:rPr>
        <w:t>和浙江外国语学院</w:t>
      </w:r>
      <w:r>
        <w:rPr>
          <w:rFonts w:hint="eastAsia" w:ascii="Times New Roman" w:hAnsi="Times New Roman" w:eastAsia="仿宋_GB2312" w:cs="仿宋_GB2312"/>
          <w:color w:val="000000"/>
          <w:sz w:val="32"/>
          <w:szCs w:val="32"/>
          <w:highlight w:val="none"/>
        </w:rPr>
        <w:t>。</w:t>
      </w:r>
    </w:p>
    <w:p w14:paraId="65B30D4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二</w:t>
      </w:r>
      <w:r>
        <w:rPr>
          <w:rFonts w:hint="eastAsia" w:ascii="Times New Roman" w:hAnsi="Times New Roman" w:eastAsia="黑体" w:cs="Times New Roman"/>
          <w:sz w:val="32"/>
          <w:szCs w:val="32"/>
          <w:highlight w:val="none"/>
        </w:rPr>
        <w:t>、竞赛内容与方式</w:t>
      </w:r>
    </w:p>
    <w:p w14:paraId="4D45CFB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竞赛分为</w:t>
      </w:r>
      <w:r>
        <w:rPr>
          <w:rFonts w:hint="eastAsia" w:ascii="Times New Roman" w:hAnsi="Times New Roman" w:eastAsia="仿宋_GB2312" w:cs="仿宋_GB2312"/>
          <w:sz w:val="32"/>
          <w:szCs w:val="32"/>
          <w:highlight w:val="none"/>
          <w:lang w:val="en-US" w:eastAsia="zh-CN"/>
        </w:rPr>
        <w:t>初赛、复赛</w:t>
      </w:r>
      <w:r>
        <w:rPr>
          <w:rFonts w:hint="eastAsia" w:ascii="Times New Roman" w:hAnsi="Times New Roman" w:eastAsia="仿宋_GB2312" w:cs="仿宋_GB2312"/>
          <w:sz w:val="32"/>
          <w:szCs w:val="32"/>
          <w:highlight w:val="none"/>
        </w:rPr>
        <w:t>和决赛</w:t>
      </w:r>
      <w:r>
        <w:rPr>
          <w:rFonts w:hint="eastAsia" w:ascii="Times New Roman" w:hAnsi="Times New Roman" w:eastAsia="仿宋_GB2312" w:cs="仿宋_GB2312"/>
          <w:sz w:val="32"/>
          <w:szCs w:val="32"/>
          <w:highlight w:val="none"/>
          <w:lang w:val="en-US" w:eastAsia="zh-CN"/>
        </w:rPr>
        <w:t>三个阶段。除会展新消费专项赛线下举办决赛外，其他赛道全程线上形式。</w:t>
      </w:r>
      <w:r>
        <w:rPr>
          <w:rFonts w:hint="eastAsia" w:ascii="Times New Roman" w:hAnsi="Times New Roman" w:eastAsia="仿宋_GB2312" w:cs="仿宋_GB2312"/>
          <w:sz w:val="32"/>
          <w:szCs w:val="32"/>
          <w:highlight w:val="none"/>
        </w:rPr>
        <w:t>评审专家将在浙江省会展策划创意大赛专家库中抽取。比赛坚持公平、公开、公正原则，</w:t>
      </w:r>
      <w:r>
        <w:rPr>
          <w:rFonts w:hint="eastAsia" w:ascii="Times New Roman" w:hAnsi="Times New Roman" w:eastAsia="仿宋_GB2312" w:cs="仿宋_GB2312"/>
          <w:sz w:val="32"/>
          <w:szCs w:val="32"/>
          <w:highlight w:val="none"/>
          <w:lang w:val="en-US" w:eastAsia="zh-CN"/>
        </w:rPr>
        <w:t>坚持双向匿名原则</w:t>
      </w:r>
      <w:r>
        <w:rPr>
          <w:rFonts w:hint="eastAsia" w:ascii="Times New Roman" w:hAnsi="Times New Roman" w:eastAsia="仿宋_GB2312" w:cs="仿宋_GB2312"/>
          <w:sz w:val="32"/>
          <w:szCs w:val="32"/>
          <w:highlight w:val="none"/>
        </w:rPr>
        <w:t>。</w:t>
      </w:r>
    </w:p>
    <w:p w14:paraId="0CDDA84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三、异议、申诉和处理</w:t>
      </w:r>
    </w:p>
    <w:p w14:paraId="7ED6B62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竞赛设立异议制度，比赛结果公示后，在发现违反竞赛规则或竞赛不公行为后，参赛队可以向浙江省会展策划创意大赛专家委员会提出申诉。申诉报告必须以书面形式提交，并且</w:t>
      </w:r>
      <w:r>
        <w:rPr>
          <w:rFonts w:hint="eastAsia" w:ascii="Times New Roman" w:hAnsi="Times New Roman" w:eastAsia="仿宋_GB2312" w:cs="仿宋_GB2312"/>
          <w:sz w:val="32"/>
          <w:szCs w:val="32"/>
          <w:highlight w:val="none"/>
          <w:lang w:eastAsia="zh-CN"/>
        </w:rPr>
        <w:t>必须</w:t>
      </w:r>
      <w:r>
        <w:rPr>
          <w:rFonts w:hint="eastAsia" w:ascii="Times New Roman" w:hAnsi="Times New Roman" w:eastAsia="仿宋_GB2312" w:cs="仿宋_GB2312"/>
          <w:sz w:val="32"/>
          <w:szCs w:val="32"/>
          <w:highlight w:val="none"/>
        </w:rPr>
        <w:t>有申诉选手、指导教师签名和所在单位盖章。由专家组进行申诉复核，并由竞赛秘书处协商后</w:t>
      </w:r>
      <w:r>
        <w:rPr>
          <w:rFonts w:hint="eastAsia" w:ascii="Times New Roman" w:hAnsi="Times New Roman" w:eastAsia="仿宋_GB2312" w:cs="仿宋_GB2312"/>
          <w:sz w:val="32"/>
          <w:szCs w:val="32"/>
          <w:highlight w:val="none"/>
          <w:lang w:eastAsia="zh-CN"/>
        </w:rPr>
        <w:t>作出</w:t>
      </w:r>
      <w:r>
        <w:rPr>
          <w:rFonts w:hint="eastAsia" w:ascii="Times New Roman" w:hAnsi="Times New Roman" w:eastAsia="仿宋_GB2312" w:cs="仿宋_GB2312"/>
          <w:sz w:val="32"/>
          <w:szCs w:val="32"/>
          <w:highlight w:val="none"/>
        </w:rPr>
        <w:t>答复。对违反竞赛规则和纪律的参赛单位和团队，取消竞赛成绩，并通报</w:t>
      </w:r>
      <w:r>
        <w:rPr>
          <w:rFonts w:hint="eastAsia" w:ascii="Times New Roman" w:hAnsi="Times New Roman" w:eastAsia="仿宋_GB2312" w:cs="仿宋_GB2312"/>
          <w:sz w:val="32"/>
          <w:szCs w:val="32"/>
          <w:highlight w:val="none"/>
          <w:lang w:val="en-US" w:eastAsia="zh-CN"/>
        </w:rPr>
        <w:t>有关</w:t>
      </w:r>
      <w:r>
        <w:rPr>
          <w:rFonts w:hint="eastAsia" w:ascii="Times New Roman" w:hAnsi="Times New Roman" w:eastAsia="仿宋_GB2312" w:cs="仿宋_GB2312"/>
          <w:sz w:val="32"/>
          <w:szCs w:val="32"/>
          <w:highlight w:val="none"/>
        </w:rPr>
        <w:t>高校。</w:t>
      </w:r>
    </w:p>
    <w:p w14:paraId="76B5550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四、主体赛事</w:t>
      </w:r>
    </w:p>
    <w:p w14:paraId="6F952CB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（一）会展创意赛道</w:t>
      </w:r>
    </w:p>
    <w:p w14:paraId="0C250F2C">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w:t>
      </w:r>
      <w:r>
        <w:rPr>
          <w:rFonts w:hint="eastAsia" w:ascii="Times New Roman" w:hAnsi="Times New Roman" w:eastAsia="仿宋_GB2312" w:cs="Times New Roman"/>
          <w:b/>
          <w:bCs/>
          <w:sz w:val="32"/>
          <w:szCs w:val="32"/>
          <w:highlight w:val="none"/>
          <w:lang w:val="en-US" w:eastAsia="zh-CN"/>
        </w:rPr>
        <w:t xml:space="preserve"> 新时代的中国会展</w:t>
      </w:r>
      <w:r>
        <w:rPr>
          <w:rFonts w:hint="eastAsia" w:ascii="Times New Roman" w:hAnsi="Times New Roman" w:eastAsia="仿宋_GB2312" w:cs="仿宋_GB2312"/>
          <w:b/>
          <w:bCs/>
          <w:sz w:val="32"/>
          <w:szCs w:val="32"/>
          <w:highlight w:val="none"/>
          <w:lang w:val="en-US" w:eastAsia="zh-CN"/>
        </w:rPr>
        <w:t>研究</w:t>
      </w:r>
    </w:p>
    <w:p w14:paraId="71FFB7CE">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近年来，我国会展业创新涌动，对国际会展业做出了独特的中国贡献，请在数字会展、可持续会展、城市会展、“会展+”经济、人工智能+会展、境外展等主题中选择其一开展研究。还可以围绕全球数字贸易博览会、世界互联网大会乌镇峰会、“良渚论坛”、中国—中东欧国家博览会等我省重要会展平台开展研究。</w:t>
      </w:r>
    </w:p>
    <w:p w14:paraId="6DF8281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成果形式：论文</w:t>
      </w:r>
      <w:r>
        <w:rPr>
          <w:rFonts w:hint="eastAsia" w:ascii="Times New Roman" w:hAnsi="Times New Roman" w:eastAsia="仿宋_GB2312" w:cs="仿宋_GB2312"/>
          <w:sz w:val="32"/>
          <w:szCs w:val="32"/>
          <w:highlight w:val="none"/>
          <w:lang w:val="en-US" w:eastAsia="zh-CN"/>
        </w:rPr>
        <w:t>或调研报告</w:t>
      </w:r>
    </w:p>
    <w:p w14:paraId="2A6CFBE4">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 新时代的中国</w:t>
      </w:r>
      <w:r>
        <w:rPr>
          <w:rFonts w:hint="eastAsia" w:ascii="Times New Roman" w:hAnsi="Times New Roman" w:eastAsia="仿宋_GB2312" w:cs="仿宋_GB2312"/>
          <w:b/>
          <w:bCs/>
          <w:sz w:val="32"/>
          <w:szCs w:val="32"/>
          <w:highlight w:val="none"/>
          <w:lang w:val="en-US" w:eastAsia="zh-CN"/>
        </w:rPr>
        <w:t>会展策划</w:t>
      </w:r>
    </w:p>
    <w:p w14:paraId="3B158BD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命题说明：请任选一种会展活动形式进行全案策划。策划需紧扣前沿趋势：一是数智会展，创新双线融合的智慧交互场景；二是零碳会展，践行</w:t>
      </w:r>
      <w:r>
        <w:rPr>
          <w:rFonts w:hint="eastAsia" w:ascii="Times New Roman" w:hAnsi="Times New Roman" w:eastAsia="仿宋_GB2312" w:cs="Times New Roman"/>
          <w:sz w:val="32"/>
          <w:szCs w:val="32"/>
          <w:highlight w:val="none"/>
          <w:lang w:val="en-US" w:eastAsia="zh-CN"/>
        </w:rPr>
        <w:t>ESG</w:t>
      </w:r>
      <w:r>
        <w:rPr>
          <w:rFonts w:hint="eastAsia" w:ascii="Times New Roman" w:hAnsi="Times New Roman" w:eastAsia="仿宋_GB2312" w:cs="仿宋_GB2312"/>
          <w:sz w:val="32"/>
          <w:szCs w:val="32"/>
          <w:highlight w:val="none"/>
          <w:lang w:val="en-US" w:eastAsia="zh-CN"/>
        </w:rPr>
        <w:t>理念，探索零碳办展与可持续循环模式；三是跨界会展，鼓励围绕赛事经济、演艺经济等开展“会展+”多业态融合；四是情绪会展，从传统展示转向沉浸式体验与社群共创，提供高情绪价值的个性化会展服务。</w:t>
      </w:r>
    </w:p>
    <w:p w14:paraId="16A25AD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w:t>
      </w:r>
    </w:p>
    <w:p w14:paraId="1F04586A">
      <w:pPr>
        <w:keepNext w:val="0"/>
        <w:keepLines w:val="0"/>
        <w:pageBreakBefore w:val="0"/>
        <w:numPr>
          <w:ilvl w:val="0"/>
          <w:numId w:val="1"/>
        </w:numPr>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浙江省“两力”品牌展会创新策划与研究</w:t>
      </w:r>
    </w:p>
    <w:p w14:paraId="0B95D2DA">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w:t>
      </w:r>
      <w:r>
        <w:rPr>
          <w:rFonts w:hint="eastAsia" w:ascii="Times New Roman" w:hAnsi="Times New Roman" w:eastAsia="仿宋_GB2312" w:cs="Times New Roman"/>
          <w:sz w:val="32"/>
          <w:szCs w:val="32"/>
          <w:highlight w:val="none"/>
          <w:lang w:val="en-US" w:eastAsia="zh-CN"/>
        </w:rPr>
        <w:t>2024年12月4日</w:t>
      </w:r>
      <w:r>
        <w:rPr>
          <w:rFonts w:hint="eastAsia" w:ascii="Times New Roman" w:hAnsi="Times New Roman" w:eastAsia="仿宋_GB2312" w:cs="仿宋_GB2312"/>
          <w:sz w:val="32"/>
          <w:szCs w:val="32"/>
          <w:highlight w:val="none"/>
          <w:lang w:val="en-US" w:eastAsia="zh-CN"/>
        </w:rPr>
        <w:t>，浙江省委书记王浩出席推进高水平对外开放建设高能级开放强省动员部署会并讲话，提出要以提升展会影响力和拉动力为关键，高水平办好全球数字贸易博览会，创新办好世界互联网大会乌镇峰会，不断扩大良渚论坛国际影响力，大力发展会展经济，更好做到以展为媒、以展兴产、以展促贸</w:t>
      </w:r>
      <w:r>
        <w:rPr>
          <w:rFonts w:hint="default" w:ascii="Times New Roman" w:hAnsi="Times New Roman" w:eastAsia="仿宋_GB2312" w:cs="仿宋_GB2312"/>
          <w:sz w:val="32"/>
          <w:szCs w:val="32"/>
          <w:highlight w:val="none"/>
          <w:lang w:val="en-US" w:eastAsia="zh-CN"/>
        </w:rPr>
        <w:t>。请以浙江省重点品牌展会为</w:t>
      </w:r>
      <w:r>
        <w:rPr>
          <w:rFonts w:hint="eastAsia" w:ascii="Times New Roman" w:hAnsi="Times New Roman" w:eastAsia="仿宋_GB2312" w:cs="仿宋_GB2312"/>
          <w:sz w:val="32"/>
          <w:szCs w:val="32"/>
          <w:highlight w:val="none"/>
          <w:lang w:val="en-US" w:eastAsia="zh-CN"/>
        </w:rPr>
        <w:t>调研</w:t>
      </w:r>
      <w:r>
        <w:rPr>
          <w:rFonts w:hint="default" w:ascii="Times New Roman" w:hAnsi="Times New Roman" w:eastAsia="仿宋_GB2312" w:cs="仿宋_GB2312"/>
          <w:sz w:val="32"/>
          <w:szCs w:val="32"/>
          <w:highlight w:val="none"/>
          <w:lang w:val="en-US" w:eastAsia="zh-CN"/>
        </w:rPr>
        <w:t>对象，围绕</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两力</w:t>
      </w:r>
      <w:r>
        <w:rPr>
          <w:rFonts w:hint="eastAsia" w:ascii="Times New Roman" w:hAnsi="Times New Roman" w:eastAsia="仿宋_GB2312" w:cs="仿宋_GB2312"/>
          <w:sz w:val="32"/>
          <w:szCs w:val="32"/>
          <w:highlight w:val="none"/>
          <w:lang w:val="en-US" w:eastAsia="zh-CN"/>
        </w:rPr>
        <w:t>”提升</w:t>
      </w:r>
      <w:r>
        <w:rPr>
          <w:rFonts w:hint="default" w:ascii="Times New Roman" w:hAnsi="Times New Roman" w:eastAsia="仿宋_GB2312" w:cs="仿宋_GB2312"/>
          <w:sz w:val="32"/>
          <w:szCs w:val="32"/>
          <w:highlight w:val="none"/>
          <w:lang w:val="en-US" w:eastAsia="zh-CN"/>
        </w:rPr>
        <w:t>，完成一份</w:t>
      </w:r>
      <w:r>
        <w:rPr>
          <w:rFonts w:hint="eastAsia" w:ascii="Times New Roman" w:hAnsi="Times New Roman" w:eastAsia="仿宋_GB2312" w:cs="仿宋_GB2312"/>
          <w:sz w:val="32"/>
          <w:szCs w:val="32"/>
          <w:highlight w:val="none"/>
          <w:lang w:val="en-US" w:eastAsia="zh-CN"/>
        </w:rPr>
        <w:t>高质量的作品</w:t>
      </w:r>
      <w:r>
        <w:rPr>
          <w:rFonts w:hint="default" w:ascii="Times New Roman" w:hAnsi="Times New Roman" w:eastAsia="仿宋_GB2312" w:cs="仿宋_GB2312"/>
          <w:sz w:val="32"/>
          <w:szCs w:val="32"/>
          <w:highlight w:val="none"/>
          <w:lang w:val="en-US" w:eastAsia="zh-CN"/>
        </w:rPr>
        <w:t>。</w:t>
      </w:r>
    </w:p>
    <w:p w14:paraId="4242061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成果形式：策划案、论文或调研报告</w:t>
      </w:r>
    </w:p>
    <w:p w14:paraId="13B67CF7">
      <w:pPr>
        <w:keepNext w:val="0"/>
        <w:keepLines w:val="0"/>
        <w:pageBreakBefore w:val="0"/>
        <w:numPr>
          <w:ilvl w:val="0"/>
          <w:numId w:val="1"/>
        </w:numPr>
        <w:tabs>
          <w:tab w:val="left" w:pos="1253"/>
        </w:tabs>
        <w:kinsoku/>
        <w:wordWrap/>
        <w:overflowPunct/>
        <w:topLinePunct w:val="0"/>
        <w:autoSpaceDE/>
        <w:autoSpaceDN/>
        <w:bidi w:val="0"/>
        <w:spacing w:line="580" w:lineRule="exact"/>
        <w:ind w:left="0" w:leftChars="0"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会展新消费专项赛</w:t>
      </w:r>
    </w:p>
    <w:p w14:paraId="021FD008">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仿宋_GB2312" w:cs="仿宋_GB2312"/>
          <w:b/>
          <w:bCs/>
          <w:sz w:val="32"/>
          <w:szCs w:val="32"/>
          <w:highlight w:val="none"/>
          <w:lang w:val="en-US" w:eastAsia="zh-CN"/>
        </w:rPr>
        <w:t>三新洞察——行业研究与消费趋势报告</w:t>
      </w:r>
    </w:p>
    <w:p w14:paraId="6D3FFA7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命题说明：要求参赛团队对“三新”某一领域进行主题研究。调研报告应涵盖发展现状、消费者画像及未来趋势研判，并为相关策划或企业发展提出具有可操作性的策略建议。</w:t>
      </w:r>
    </w:p>
    <w:p w14:paraId="41C2CAB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成果形式：调研报告</w:t>
      </w:r>
    </w:p>
    <w:p w14:paraId="10C15AC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仿宋_GB2312" w:cs="仿宋_GB2312"/>
          <w:b/>
          <w:bCs/>
          <w:sz w:val="32"/>
          <w:szCs w:val="32"/>
          <w:highlight w:val="none"/>
          <w:lang w:val="en-US" w:eastAsia="zh-CN"/>
        </w:rPr>
        <w:t>需求解码——新消费品牌成长实战</w:t>
      </w:r>
    </w:p>
    <w:p w14:paraId="6539347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命题说明：参赛团队需自主调研“三新”领域的新消费品牌或创业公司的真实需求，量身定制解决方案或创意策划案。</w:t>
      </w:r>
    </w:p>
    <w:p w14:paraId="587253C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w:t>
      </w:r>
    </w:p>
    <w:p w14:paraId="3E1D9EB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命题咨询：</w:t>
      </w:r>
      <w:r>
        <w:rPr>
          <w:rFonts w:hint="default" w:ascii="Times New Roman" w:hAnsi="Times New Roman" w:eastAsia="仿宋_GB2312" w:cs="Times New Roman"/>
          <w:sz w:val="32"/>
          <w:szCs w:val="32"/>
          <w:highlight w:val="none"/>
          <w:lang w:val="en-US" w:eastAsia="zh-CN"/>
        </w:rPr>
        <w:t>116320008568</w:t>
      </w:r>
      <w:r>
        <w:rPr>
          <w:rFonts w:hint="default" w:ascii="Times New Roman" w:hAnsi="Times New Roman" w:eastAsia="仿宋_GB2312" w:cs="仿宋_GB2312"/>
          <w:sz w:val="32"/>
          <w:szCs w:val="32"/>
          <w:highlight w:val="none"/>
          <w:lang w:val="en-US" w:eastAsia="zh-CN"/>
        </w:rPr>
        <w:t>（钉钉群）</w:t>
      </w:r>
    </w:p>
    <w:p w14:paraId="7A25A6B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default" w:ascii="Times New Roman" w:hAnsi="Times New Roman" w:eastAsia="仿宋_GB2312" w:cs="仿宋_GB2312"/>
          <w:sz w:val="32"/>
          <w:szCs w:val="32"/>
          <w:highlight w:val="none"/>
          <w:lang w:val="en-US" w:eastAsia="zh-CN"/>
        </w:rPr>
        <w:t>特别说明：该项专业赛由浙江省商务厅提供。</w:t>
      </w:r>
    </w:p>
    <w:p w14:paraId="763876A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（二）会展设计赛道</w:t>
      </w:r>
    </w:p>
    <w:p w14:paraId="2FA95A8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 xml:space="preserve">1. </w:t>
      </w:r>
      <w:r>
        <w:rPr>
          <w:rFonts w:hint="eastAsia" w:ascii="Times New Roman" w:hAnsi="Times New Roman" w:eastAsia="仿宋_GB2312" w:cs="仿宋_GB2312"/>
          <w:b/>
          <w:bCs/>
          <w:sz w:val="32"/>
          <w:szCs w:val="32"/>
          <w:highlight w:val="none"/>
          <w:lang w:val="en-US" w:eastAsia="zh-CN"/>
        </w:rPr>
        <w:t>新时代的中国会展设计</w:t>
      </w:r>
    </w:p>
    <w:p w14:paraId="07CCF5B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命题说明：请从近年来习近平有关博物馆展览的重要讲话中寻找灵感进行创作，也可聚焦浙江商品服务出展展厅展台进行设计。设计须紧扣展陈前沿趋势：一是数智跃升，深度应用</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生成设计、空间计算与全息感知技术，打造沉浸交互的虚实共生体验；二是文化转译，践行“让文物活起来”，以当代设计语境与东方美学推动中华优秀传统文化的创新性表达；三是绿色</w:t>
      </w:r>
      <w:r>
        <w:rPr>
          <w:rFonts w:hint="eastAsia" w:ascii="Times New Roman" w:hAnsi="Times New Roman" w:eastAsia="仿宋_GB2312" w:cs="Times New Roman"/>
          <w:sz w:val="32"/>
          <w:szCs w:val="32"/>
          <w:highlight w:val="none"/>
          <w:lang w:val="en-US" w:eastAsia="zh-CN"/>
        </w:rPr>
        <w:t>ESG</w:t>
      </w:r>
      <w:r>
        <w:rPr>
          <w:rFonts w:hint="eastAsia" w:ascii="Times New Roman" w:hAnsi="Times New Roman" w:eastAsia="仿宋_GB2312" w:cs="仿宋_GB2312"/>
          <w:sz w:val="32"/>
          <w:szCs w:val="32"/>
          <w:highlight w:val="none"/>
          <w:lang w:val="en-US" w:eastAsia="zh-CN"/>
        </w:rPr>
        <w:t>，贯彻可持续理念，探索模块化搭建与零碳可循环展陈模式；四是叙事驱动，从单向展陈转向多感官空间叙事，创造高情绪价值的共鸣场域。</w:t>
      </w:r>
    </w:p>
    <w:p w14:paraId="44672AD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成果形式：策划案或设计案</w:t>
      </w:r>
    </w:p>
    <w:p w14:paraId="5F64AF6E">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 浙江省在地文化遗产</w:t>
      </w:r>
      <w:r>
        <w:rPr>
          <w:rFonts w:hint="eastAsia" w:ascii="Times New Roman" w:hAnsi="Times New Roman" w:eastAsia="仿宋_GB2312" w:cs="仿宋_GB2312"/>
          <w:b/>
          <w:bCs/>
          <w:sz w:val="32"/>
          <w:szCs w:val="32"/>
          <w:highlight w:val="none"/>
          <w:lang w:val="en-US" w:eastAsia="zh-CN"/>
        </w:rPr>
        <w:t>云展设计</w:t>
      </w:r>
    </w:p>
    <w:p w14:paraId="707C642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方正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命题说明：浙江在地文化遗产承载着震撼世界的“普世价值”：从上山文化的“万年稻源”点亮人类农业文明曙光，到良渚文化的“早期国家”实证中华五千年文明史。请运用数字孪</w:t>
      </w:r>
      <w:r>
        <w:rPr>
          <w:rFonts w:hint="eastAsia" w:ascii="Times New Roman" w:hAnsi="Times New Roman" w:eastAsia="仿宋_GB2312" w:cs="Times New Roman"/>
          <w:sz w:val="32"/>
          <w:szCs w:val="32"/>
          <w:highlight w:val="none"/>
          <w:lang w:val="en-US" w:eastAsia="zh-CN"/>
        </w:rPr>
        <w:t>生、AIGC、XR</w:t>
      </w:r>
      <w:r>
        <w:rPr>
          <w:rFonts w:hint="eastAsia" w:ascii="Times New Roman" w:hAnsi="Times New Roman" w:eastAsia="仿宋_GB2312" w:cs="仿宋_GB2312"/>
          <w:sz w:val="32"/>
          <w:szCs w:val="32"/>
          <w:highlight w:val="none"/>
          <w:lang w:val="en-US" w:eastAsia="zh-CN"/>
        </w:rPr>
        <w:t>扩展现实等前沿技术，在有限的时空内将浙江省各地在地文化遗产的物与文化元素通过线上线下综合场景的方式创新呈现。以当代数字语境转译浙江深厚的文化基因，向世界讲述历久弥新的中华文明故事。</w:t>
      </w:r>
    </w:p>
    <w:p w14:paraId="41D360D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成果形式：线上云展方案</w:t>
      </w:r>
    </w:p>
    <w:p w14:paraId="4E4A2DE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（三）会展传播赛道</w:t>
      </w:r>
    </w:p>
    <w:p w14:paraId="42D3DDE6">
      <w:pPr>
        <w:keepNext w:val="0"/>
        <w:keepLines w:val="0"/>
        <w:pageBreakBefore w:val="0"/>
        <w:widowControl w:val="0"/>
        <w:kinsoku/>
        <w:wordWrap/>
        <w:overflowPunct/>
        <w:topLinePunct w:val="0"/>
        <w:autoSpaceDE/>
        <w:autoSpaceDN/>
        <w:bidi w:val="0"/>
        <w:adjustRightInd w:val="0"/>
        <w:snapToGrid/>
        <w:spacing w:line="580" w:lineRule="exact"/>
        <w:ind w:left="0" w:leftChars="0" w:firstLine="643" w:firstLineChars="200"/>
        <w:textAlignment w:val="auto"/>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浙江省会展国际传播赛</w:t>
      </w:r>
    </w:p>
    <w:p w14:paraId="38950BD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浙江省会展国际传播赛分两部分，一是策划，选取浙江省代表性会展项目（如数贸会、世界互联网大会等），通过跨文化受众洞察、国际市场调研与传播策略设计，撰写国际传播策划案，助力浙江会展品牌跨文化出海。二是推介，参赛者根据策划内容，进行沉浸式路演推介，传播好浙江会展品牌故事，提升浙江会展国际话语权与全球影响力。</w:t>
      </w:r>
    </w:p>
    <w:p w14:paraId="5CF179F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成果形式：会展国际传播策划案、多语种推介视频</w:t>
      </w:r>
    </w:p>
    <w:p w14:paraId="6D28566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语种要求：中文、英语、法语、俄语、西班牙语、阿拉伯语和日语，任选一种，策划与推介的语种必须前后一致。</w:t>
      </w:r>
    </w:p>
    <w:p w14:paraId="66774D5D">
      <w:pPr>
        <w:keepNext w:val="0"/>
        <w:keepLines w:val="0"/>
        <w:pageBreakBefore w:val="0"/>
        <w:numPr>
          <w:ilvl w:val="0"/>
          <w:numId w:val="2"/>
        </w:numPr>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书画中国</w:t>
      </w:r>
      <w:r>
        <w:rPr>
          <w:rFonts w:hint="eastAsia" w:ascii="Times New Roman" w:hAnsi="Times New Roman" w:eastAsia="仿宋_GB2312" w:cs="仿宋_GB2312"/>
          <w:b/>
          <w:bCs/>
          <w:sz w:val="32"/>
          <w:szCs w:val="32"/>
          <w:highlight w:val="none"/>
          <w:lang w:val="en-US" w:eastAsia="zh-CN"/>
        </w:rPr>
        <w:t>多语种讲解赛</w:t>
      </w:r>
    </w:p>
    <w:p w14:paraId="7A45102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书画中国多语种讲解赛分两部分，一是讲解，选取符合“传世书画中的中国节日和民俗”主题的绘画或书法作品，通过文献挖掘、整理、跨学科研究和出镜讲解，助力中国传统节庆全面复兴和国际传播。二是表演，参赛者根据研讲内容，创新性演绎中国节庆，传播好中国节庆文化，助力中华文化全球传播。</w:t>
      </w:r>
    </w:p>
    <w:p w14:paraId="3B5C275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成果形式：节庆主题研究稿、节庆讲解和表演视频</w:t>
      </w:r>
    </w:p>
    <w:p w14:paraId="66726F96">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语种要求：中文、英语、法语、俄语、西班牙语、阿拉伯语和日语，任选一种，讲解和表演的语种必须前后一致。</w:t>
      </w:r>
    </w:p>
    <w:p w14:paraId="5A536E0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（四）公益专项赛道</w:t>
      </w:r>
    </w:p>
    <w:p w14:paraId="465470A0">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金华山国际会展传播</w:t>
      </w:r>
    </w:p>
    <w:p w14:paraId="66161A7D">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参赛团队调研金华山独特的“仙源文化、自然奇观、古道探秘、青春业态”，聚焦国际传播，策划具有创意性、传播力及可行性的会展活动方案、文创产品设计案或宣传推广短视频，提升金华山在国际市场的知名度与影响力，推动金华文旅品牌“走出去”。</w:t>
      </w:r>
    </w:p>
    <w:p w14:paraId="6A26B2B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成果形式：策划案、设计案或短视频（含脚本）</w:t>
      </w:r>
    </w:p>
    <w:p w14:paraId="43DE2B8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命题咨询：</w:t>
      </w:r>
      <w:r>
        <w:rPr>
          <w:rFonts w:hint="eastAsia" w:ascii="Times New Roman" w:hAnsi="Times New Roman" w:eastAsia="仿宋_GB2312" w:cs="Times New Roman"/>
          <w:sz w:val="32"/>
          <w:szCs w:val="32"/>
          <w:highlight w:val="none"/>
          <w:lang w:val="en-US" w:eastAsia="zh-CN"/>
        </w:rPr>
        <w:t>110885012539（钉钉群）。</w:t>
      </w:r>
    </w:p>
    <w:p w14:paraId="352546CA">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 xml:space="preserve">2. </w:t>
      </w:r>
      <w:r>
        <w:rPr>
          <w:rFonts w:hint="eastAsia" w:ascii="Times New Roman" w:hAnsi="Times New Roman" w:eastAsia="仿宋_GB2312" w:cs="仿宋_GB2312"/>
          <w:b/>
          <w:bCs/>
          <w:sz w:val="32"/>
          <w:szCs w:val="32"/>
          <w:highlight w:val="none"/>
          <w:lang w:val="en-US" w:eastAsia="zh-CN"/>
        </w:rPr>
        <w:t>龙游专项赛</w:t>
      </w:r>
    </w:p>
    <w:p w14:paraId="003C8D5E">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龙游文旅会展传播</w:t>
      </w:r>
    </w:p>
    <w:p w14:paraId="27EA3592">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命题说明：参赛团队需围绕龙游文旅核心资源，进行会展作品的定向创作。鼓励年轻化表达，鼓励参赛团队通过官方媒体、社交平台等自主传播，扩大影响，助力龙游文旅推广与流量转化。</w:t>
      </w:r>
    </w:p>
    <w:p w14:paraId="6AD34EC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成果形式：策划案、设计案或短视频（含脚本）</w:t>
      </w:r>
    </w:p>
    <w:p w14:paraId="6353FAE4">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赛事咨询：160170032791（钉钉群）</w:t>
      </w:r>
    </w:p>
    <w:p w14:paraId="2090BE1B">
      <w:pPr>
        <w:keepNext w:val="0"/>
        <w:keepLines w:val="0"/>
        <w:pageBreakBefore w:val="0"/>
        <w:numPr>
          <w:ilvl w:val="0"/>
          <w:numId w:val="2"/>
        </w:numPr>
        <w:tabs>
          <w:tab w:val="left" w:pos="1253"/>
          <w:tab w:val="center" w:pos="4153"/>
        </w:tabs>
        <w:kinsoku/>
        <w:wordWrap/>
        <w:overflowPunct/>
        <w:topLinePunct w:val="0"/>
        <w:autoSpaceDE/>
        <w:autoSpaceDN/>
        <w:bidi w:val="0"/>
        <w:spacing w:line="580" w:lineRule="exact"/>
        <w:ind w:left="0" w:leftChars="0"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开化专项赛</w:t>
      </w:r>
    </w:p>
    <w:p w14:paraId="1BFA8EF8">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开化文旅展示设计赛</w:t>
      </w:r>
    </w:p>
    <w:p w14:paraId="65212DEA">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命题说明：两个设计方向：一是围绕开化县“钱江源”区域公用品牌进行创作设计；二是围绕根宫佛国文化旅游区进行创作设计。</w:t>
      </w:r>
    </w:p>
    <w:p w14:paraId="71CFF8E4">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成果形式：设计案</w:t>
      </w:r>
    </w:p>
    <w:p w14:paraId="0AC1D65D">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命题咨询：84170006346（钉钉群）</w:t>
      </w:r>
    </w:p>
    <w:p w14:paraId="0EB5D3FB">
      <w:pPr>
        <w:keepNext w:val="0"/>
        <w:keepLines w:val="0"/>
        <w:pageBreakBefore w:val="0"/>
        <w:widowControl w:val="0"/>
        <w:kinsoku/>
        <w:wordWrap/>
        <w:overflowPunct/>
        <w:topLinePunct w:val="0"/>
        <w:autoSpaceDE/>
        <w:autoSpaceDN/>
        <w:bidi w:val="0"/>
        <w:adjustRightInd w:val="0"/>
        <w:snapToGrid/>
        <w:spacing w:line="580" w:lineRule="exact"/>
        <w:ind w:left="0" w:leftChars="0" w:firstLine="643"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4. “上官球拍”品牌推广会展策划方案</w:t>
      </w:r>
      <w:r>
        <w:rPr>
          <w:rFonts w:hint="eastAsia" w:ascii="Times New Roman" w:hAnsi="Times New Roman" w:eastAsia="仿宋_GB2312" w:cs="仿宋_GB2312"/>
          <w:sz w:val="32"/>
          <w:szCs w:val="32"/>
          <w:highlight w:val="none"/>
          <w:lang w:val="en-US" w:eastAsia="zh-CN"/>
        </w:rPr>
        <w:t xml:space="preserve"> </w:t>
      </w:r>
    </w:p>
    <w:p w14:paraId="2F17D70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命题说明：请参赛团队聚焦“上官球拍”集体商标推广，策划一套切实可行的品牌提升方案，包括但不限于品牌线上种草策划、线下体验活动策划、视觉传达设计、衍生品设计等内容，推动“上官球拍”成为具有区域乃至全国影响力的自主品牌。</w:t>
      </w:r>
    </w:p>
    <w:p w14:paraId="1F4081D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成果形式：策划案、设计案</w:t>
      </w:r>
    </w:p>
    <w:p w14:paraId="5B32D105">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特别说明：本赛道获奖团队将有机会获得赛题合作单位的采纳证明，各专项赛具体奖励和鼓励办法另行通知。</w:t>
      </w:r>
    </w:p>
    <w:p w14:paraId="3035ACC9">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eastAsia" w:ascii="Times New Roman" w:hAnsi="Times New Roman" w:eastAsia="黑体" w:cs="Times New Roman"/>
          <w:sz w:val="32"/>
          <w:szCs w:val="32"/>
          <w:highlight w:val="none"/>
        </w:rPr>
        <w:t>评分方法</w:t>
      </w:r>
    </w:p>
    <w:p w14:paraId="530E98F6">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省赛复赛</w:t>
      </w:r>
      <w:r>
        <w:rPr>
          <w:rFonts w:hint="eastAsia" w:ascii="Times New Roman" w:hAnsi="Times New Roman" w:eastAsia="仿宋_GB2312" w:cs="仿宋_GB2312"/>
          <w:sz w:val="32"/>
          <w:szCs w:val="32"/>
          <w:highlight w:val="none"/>
        </w:rPr>
        <w:t>和</w:t>
      </w:r>
      <w:r>
        <w:rPr>
          <w:rFonts w:hint="eastAsia" w:ascii="Times New Roman" w:hAnsi="Times New Roman" w:eastAsia="仿宋_GB2312" w:cs="仿宋_GB2312"/>
          <w:sz w:val="32"/>
          <w:szCs w:val="32"/>
          <w:highlight w:val="none"/>
          <w:lang w:val="en-US" w:eastAsia="zh-CN"/>
        </w:rPr>
        <w:t>省赛</w:t>
      </w:r>
      <w:r>
        <w:rPr>
          <w:rFonts w:hint="eastAsia" w:ascii="Times New Roman" w:hAnsi="Times New Roman" w:eastAsia="仿宋_GB2312" w:cs="仿宋_GB2312"/>
          <w:sz w:val="32"/>
          <w:szCs w:val="32"/>
          <w:highlight w:val="none"/>
        </w:rPr>
        <w:t>决赛将分别抽取浙江省会展策划创意大赛</w:t>
      </w:r>
      <w:r>
        <w:rPr>
          <w:rFonts w:hint="default" w:ascii="Times New Roman" w:hAnsi="Times New Roman" w:eastAsia="仿宋_GB2312" w:cs="Times New Roman"/>
          <w:sz w:val="32"/>
          <w:szCs w:val="32"/>
          <w:highlight w:val="none"/>
          <w:lang w:val="en-US" w:eastAsia="zh-CN"/>
        </w:rPr>
        <w:t>5</w:t>
      </w:r>
      <w:r>
        <w:rPr>
          <w:rFonts w:hint="eastAsia" w:ascii="Times New Roman" w:hAnsi="Times New Roman" w:eastAsia="仿宋_GB2312" w:cs="仿宋_GB2312"/>
          <w:sz w:val="32"/>
          <w:szCs w:val="32"/>
          <w:highlight w:val="none"/>
        </w:rPr>
        <w:t>位评委进行评分，独立评分，去掉一个最高分和一个最低分后，其余得分的平均值作为参赛队伍的最后得分。</w:t>
      </w:r>
      <w:r>
        <w:rPr>
          <w:rFonts w:hint="eastAsia" w:ascii="Times New Roman" w:hAnsi="Times New Roman" w:eastAsia="仿宋_GB2312" w:cs="仿宋_GB2312"/>
          <w:sz w:val="32"/>
          <w:szCs w:val="32"/>
          <w:highlight w:val="none"/>
          <w:lang w:val="en-US" w:eastAsia="zh-CN"/>
        </w:rPr>
        <w:t>评审组组长</w:t>
      </w:r>
      <w:r>
        <w:rPr>
          <w:rFonts w:hint="eastAsia" w:ascii="Times New Roman" w:hAnsi="Times New Roman" w:eastAsia="仿宋_GB2312" w:cs="仿宋_GB2312"/>
          <w:sz w:val="32"/>
          <w:szCs w:val="32"/>
          <w:highlight w:val="none"/>
        </w:rPr>
        <w:t>在竞赛结束后</w:t>
      </w:r>
      <w:r>
        <w:rPr>
          <w:rFonts w:hint="eastAsia" w:ascii="Times New Roman" w:hAnsi="Times New Roman" w:eastAsia="仿宋_GB2312" w:cs="仿宋_GB2312"/>
          <w:sz w:val="32"/>
          <w:szCs w:val="32"/>
          <w:highlight w:val="none"/>
          <w:lang w:val="en-US" w:eastAsia="zh-CN"/>
        </w:rPr>
        <w:t>向组委会</w:t>
      </w:r>
      <w:r>
        <w:rPr>
          <w:rFonts w:hint="eastAsia" w:ascii="Times New Roman" w:hAnsi="Times New Roman" w:eastAsia="仿宋_GB2312" w:cs="仿宋_GB2312"/>
          <w:sz w:val="32"/>
          <w:szCs w:val="32"/>
          <w:highlight w:val="none"/>
        </w:rPr>
        <w:t>提交比赛排位评分结果。</w:t>
      </w:r>
    </w:p>
    <w:p w14:paraId="43E00A07">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w:t>
      </w:r>
      <w:r>
        <w:rPr>
          <w:rFonts w:hint="eastAsia" w:ascii="Times New Roman" w:hAnsi="Times New Roman" w:eastAsia="黑体" w:cs="Times New Roman"/>
          <w:sz w:val="32"/>
          <w:szCs w:val="32"/>
          <w:highlight w:val="none"/>
        </w:rPr>
        <w:t>评分标准</w:t>
      </w:r>
    </w:p>
    <w:p w14:paraId="69E59FD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（一）会展创意赛道</w:t>
      </w:r>
    </w:p>
    <w:p w14:paraId="61AF4A4C">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default" w:ascii="Times New Roman" w:hAnsi="Times New Roman" w:eastAsia="方正仿宋_GB2312" w:cs="Times New Roman"/>
          <w:b/>
          <w:bCs/>
          <w:sz w:val="32"/>
          <w:szCs w:val="32"/>
          <w:highlight w:val="none"/>
          <w:lang w:val="en-US" w:eastAsia="zh-CN"/>
        </w:rPr>
        <w:t>1.</w:t>
      </w:r>
      <w:r>
        <w:rPr>
          <w:rFonts w:hint="eastAsia" w:ascii="Times New Roman" w:hAnsi="Times New Roman" w:eastAsia="方正仿宋_GB2312" w:cs="Times New Roman"/>
          <w:b/>
          <w:bCs/>
          <w:sz w:val="32"/>
          <w:szCs w:val="32"/>
          <w:highlight w:val="none"/>
          <w:lang w:val="en-US" w:eastAsia="zh-CN"/>
        </w:rPr>
        <w:t xml:space="preserve"> 新时代的</w:t>
      </w:r>
      <w:r>
        <w:rPr>
          <w:rFonts w:hint="eastAsia" w:ascii="Times New Roman" w:hAnsi="Times New Roman" w:eastAsia="仿宋_GB2312" w:cs="仿宋_GB2312"/>
          <w:b/>
          <w:bCs/>
          <w:sz w:val="32"/>
          <w:szCs w:val="32"/>
          <w:highlight w:val="none"/>
          <w:lang w:val="en-US" w:eastAsia="zh-CN"/>
        </w:rPr>
        <w:t>中国会展研究</w:t>
      </w:r>
    </w:p>
    <w:p w14:paraId="64AF8F1D">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仿宋_GB2312" w:cs="仿宋_GB2312"/>
          <w:sz w:val="32"/>
          <w:szCs w:val="32"/>
          <w:highlight w:val="none"/>
          <w:lang w:val="en-US" w:eastAsia="zh-CN"/>
        </w:rPr>
        <w:t>背景信息介绍全面</w:t>
      </w:r>
      <w:r>
        <w:rPr>
          <w:rFonts w:hint="eastAsia" w:ascii="Times New Roman" w:hAnsi="Times New Roman" w:eastAsia="方正仿宋_GB2312" w:cs="Times New Roman"/>
          <w:sz w:val="32"/>
          <w:szCs w:val="32"/>
          <w:highlight w:val="none"/>
          <w:lang w:val="en-US" w:eastAsia="zh-CN"/>
        </w:rPr>
        <w:t>（</w:t>
      </w:r>
      <w:r>
        <w:rPr>
          <w:rFonts w:hint="default" w:ascii="Times New Roman" w:hAnsi="Times New Roman" w:eastAsia="方正仿宋_GB2312" w:cs="Times New Roman"/>
          <w:sz w:val="32"/>
          <w:szCs w:val="32"/>
          <w:highlight w:val="none"/>
          <w:lang w:val="en-US" w:eastAsia="zh-CN"/>
        </w:rPr>
        <w:t>10</w:t>
      </w:r>
      <w:r>
        <w:rPr>
          <w:rFonts w:hint="eastAsia" w:ascii="Times New Roman" w:hAnsi="Times New Roman" w:eastAsia="方正仿宋_GB2312" w:cs="Times New Roman"/>
          <w:sz w:val="32"/>
          <w:szCs w:val="32"/>
          <w:highlight w:val="none"/>
          <w:lang w:val="en-US" w:eastAsia="zh-CN"/>
        </w:rPr>
        <w:t>分）</w:t>
      </w:r>
    </w:p>
    <w:p w14:paraId="5EDF646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研究问题提出恰当（</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414CA08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文献综述全面规范（</w:t>
      </w:r>
      <w:r>
        <w:rPr>
          <w:rFonts w:hint="default" w:ascii="Times New Roman" w:hAnsi="Times New Roman" w:eastAsia="方正仿宋_GB2312" w:cs="Times New Roman"/>
          <w:sz w:val="32"/>
          <w:szCs w:val="32"/>
          <w:highlight w:val="none"/>
          <w:lang w:val="en-US" w:eastAsia="zh-CN"/>
        </w:rPr>
        <w:t>15</w:t>
      </w:r>
      <w:r>
        <w:rPr>
          <w:rFonts w:hint="eastAsia" w:ascii="Times New Roman" w:hAnsi="Times New Roman" w:eastAsia="方正仿宋_GB2312" w:cs="Times New Roman"/>
          <w:sz w:val="32"/>
          <w:szCs w:val="32"/>
          <w:highlight w:val="none"/>
          <w:lang w:val="en-US" w:eastAsia="zh-CN"/>
        </w:rPr>
        <w:t>分）</w:t>
      </w:r>
    </w:p>
    <w:p w14:paraId="2E76ADF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研究设计实施合理（</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7150278A">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研究发现全面客观（</w:t>
      </w:r>
      <w:r>
        <w:rPr>
          <w:rFonts w:hint="default" w:ascii="Times New Roman" w:hAnsi="Times New Roman" w:eastAsia="方正仿宋_GB2312" w:cs="Times New Roman"/>
          <w:sz w:val="32"/>
          <w:szCs w:val="32"/>
          <w:highlight w:val="none"/>
          <w:lang w:val="en-US" w:eastAsia="zh-CN"/>
        </w:rPr>
        <w:t>20</w:t>
      </w:r>
      <w:r>
        <w:rPr>
          <w:rFonts w:hint="eastAsia" w:ascii="Times New Roman" w:hAnsi="Times New Roman" w:eastAsia="方正仿宋_GB2312" w:cs="Times New Roman"/>
          <w:sz w:val="32"/>
          <w:szCs w:val="32"/>
          <w:highlight w:val="none"/>
          <w:lang w:val="en-US" w:eastAsia="zh-CN"/>
        </w:rPr>
        <w:t>分）</w:t>
      </w:r>
    </w:p>
    <w:p w14:paraId="5C651E2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研究价值洞察深度（</w:t>
      </w:r>
      <w:r>
        <w:rPr>
          <w:rFonts w:hint="default" w:ascii="Times New Roman" w:hAnsi="Times New Roman" w:eastAsia="方正仿宋_GB2312" w:cs="Times New Roman"/>
          <w:sz w:val="32"/>
          <w:szCs w:val="32"/>
          <w:highlight w:val="none"/>
          <w:lang w:val="en-US" w:eastAsia="zh-CN"/>
        </w:rPr>
        <w:t>15</w:t>
      </w:r>
      <w:r>
        <w:rPr>
          <w:rFonts w:hint="eastAsia" w:ascii="Times New Roman" w:hAnsi="Times New Roman" w:eastAsia="仿宋_GB2312" w:cs="仿宋_GB2312"/>
          <w:sz w:val="32"/>
          <w:szCs w:val="32"/>
          <w:highlight w:val="none"/>
          <w:lang w:val="en-US" w:eastAsia="zh-CN"/>
        </w:rPr>
        <w:t>分）</w:t>
      </w:r>
    </w:p>
    <w:p w14:paraId="25FAF8C4">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可参考</w:t>
      </w:r>
      <w:r>
        <w:rPr>
          <w:rFonts w:hint="default" w:ascii="Times New Roman" w:hAnsi="Times New Roman" w:eastAsia="仿宋_GB2312" w:cs="Times New Roman"/>
          <w:b w:val="0"/>
          <w:bCs w:val="0"/>
          <w:sz w:val="32"/>
          <w:szCs w:val="32"/>
          <w:highlight w:val="none"/>
          <w:lang w:val="en-US" w:eastAsia="zh-CN"/>
        </w:rPr>
        <w:t>SSCI、SCI、EI</w:t>
      </w:r>
      <w:r>
        <w:rPr>
          <w:rFonts w:hint="eastAsia" w:ascii="Times New Roman" w:hAnsi="Times New Roman" w:eastAsia="仿宋_GB2312" w:cs="仿宋_GB2312"/>
          <w:b w:val="0"/>
          <w:bCs w:val="0"/>
          <w:sz w:val="32"/>
          <w:szCs w:val="32"/>
          <w:highlight w:val="none"/>
          <w:lang w:val="en-US" w:eastAsia="zh-CN"/>
        </w:rPr>
        <w:t>等国际期刊论文要求。</w:t>
      </w:r>
    </w:p>
    <w:p w14:paraId="047E46B1">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仿宋_GB2312" w:cs="仿宋_GB2312"/>
          <w:b/>
          <w:bCs/>
          <w:sz w:val="32"/>
          <w:szCs w:val="32"/>
          <w:highlight w:val="none"/>
          <w:lang w:val="en-US" w:eastAsia="zh-CN"/>
        </w:rPr>
        <w:t>新时代的中国会展策划</w:t>
      </w:r>
    </w:p>
    <w:p w14:paraId="3C6B554B">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方案完善度（</w:t>
      </w:r>
      <w:r>
        <w:rPr>
          <w:rFonts w:hint="eastAsia" w:ascii="Times New Roman" w:hAnsi="Times New Roman" w:eastAsia="方正仿宋_GB2312" w:cs="Times New Roman"/>
          <w:sz w:val="32"/>
          <w:szCs w:val="32"/>
          <w:highlight w:val="none"/>
          <w:lang w:val="en-US" w:eastAsia="zh-CN"/>
        </w:rPr>
        <w:t>15</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题目规范完整，方案完整； </w:t>
      </w:r>
    </w:p>
    <w:p w14:paraId="32EB7C6D">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项目立意（</w:t>
      </w:r>
      <w:r>
        <w:rPr>
          <w:rFonts w:hint="eastAsia" w:ascii="Times New Roman" w:hAnsi="Times New Roman" w:eastAsia="方正仿宋_GB2312" w:cs="Times New Roman"/>
          <w:sz w:val="32"/>
          <w:szCs w:val="32"/>
          <w:highlight w:val="none"/>
          <w:lang w:val="en-US" w:eastAsia="zh-CN"/>
        </w:rPr>
        <w:t>25</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理念和目标应以促进国家和省市发展战略为方向，符合社会主义核心价值观； </w:t>
      </w:r>
    </w:p>
    <w:p w14:paraId="6A9C218C">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可行性（</w:t>
      </w:r>
      <w:r>
        <w:rPr>
          <w:rFonts w:hint="eastAsia" w:ascii="Times New Roman" w:hAnsi="Times New Roman" w:eastAsia="方正仿宋_GB2312" w:cs="Times New Roman"/>
          <w:sz w:val="32"/>
          <w:szCs w:val="32"/>
          <w:highlight w:val="none"/>
          <w:lang w:val="en-US" w:eastAsia="zh-CN"/>
        </w:rPr>
        <w:t>30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 xml:space="preserve">机构设置合理，可操作性强，预算合理；重点考察是否具备落地条件，是否开展试运营或与目标地政府、企业等达成合作意向，推动成果转化与市场应用。 </w:t>
      </w:r>
    </w:p>
    <w:p w14:paraId="3537C7B5">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方案规范性（</w:t>
      </w:r>
      <w:r>
        <w:rPr>
          <w:rFonts w:hint="eastAsia" w:ascii="Times New Roman" w:hAnsi="Times New Roman" w:eastAsia="方正仿宋_GB2312" w:cs="Times New Roman"/>
          <w:sz w:val="32"/>
          <w:szCs w:val="32"/>
          <w:highlight w:val="none"/>
          <w:lang w:val="en-US" w:eastAsia="zh-CN"/>
        </w:rPr>
        <w:t>10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学术规范，逻辑规范，方案呈现规范，文字、数字、图表等有无明显错误；</w:t>
      </w:r>
    </w:p>
    <w:p w14:paraId="355C0F8C">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创意创新（</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方正仿宋_GB2312" w:cs="方正仿宋_GB2312"/>
          <w:sz w:val="32"/>
          <w:szCs w:val="32"/>
          <w:highlight w:val="none"/>
        </w:rPr>
        <w:t>：</w:t>
      </w:r>
      <w:r>
        <w:rPr>
          <w:rFonts w:hint="eastAsia" w:ascii="Times New Roman" w:hAnsi="Times New Roman" w:eastAsia="仿宋_GB2312" w:cs="仿宋_GB2312"/>
          <w:b w:val="0"/>
          <w:bCs w:val="0"/>
          <w:sz w:val="32"/>
          <w:szCs w:val="32"/>
          <w:highlight w:val="none"/>
          <w:lang w:val="en-US" w:eastAsia="zh-CN"/>
        </w:rPr>
        <w:t>文本呈现方式有创意，有融合数字时代的创新创意点。</w:t>
      </w:r>
    </w:p>
    <w:p w14:paraId="14FA1780">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浙江省“两力”品牌展会创新策划与研究</w:t>
      </w:r>
    </w:p>
    <w:p w14:paraId="1C172CD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参照新时代中国会展研究或新时代的中国会展策划的评分标准。</w:t>
      </w:r>
    </w:p>
    <w:p w14:paraId="23912D5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 xml:space="preserve">4. </w:t>
      </w:r>
      <w:r>
        <w:rPr>
          <w:rFonts w:hint="eastAsia" w:ascii="Times New Roman" w:hAnsi="Times New Roman" w:eastAsia="方正仿宋_GB2312" w:cs="Times New Roman"/>
          <w:b/>
          <w:bCs/>
          <w:sz w:val="32"/>
          <w:szCs w:val="32"/>
          <w:highlight w:val="none"/>
          <w:lang w:val="en-US" w:eastAsia="zh-CN"/>
        </w:rPr>
        <w:t>会展新消费专项赛</w:t>
      </w:r>
    </w:p>
    <w:p w14:paraId="33094316">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仿宋_GB2312" w:cs="仿宋_GB2312"/>
          <w:b/>
          <w:bCs/>
          <w:sz w:val="32"/>
          <w:szCs w:val="32"/>
          <w:highlight w:val="none"/>
          <w:lang w:val="en-US" w:eastAsia="zh-CN"/>
        </w:rPr>
        <w:t>三新洞察——行业研究与消费趋势报告</w:t>
      </w:r>
    </w:p>
    <w:p w14:paraId="46E2111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行业研究深度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：对所选细分领域的现状、竞争格局、典型案例扫描充分、数据翔实可信。</w:t>
      </w:r>
    </w:p>
    <w:p w14:paraId="3FE0B1D2">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消费者洞察准度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：用户画像精准，行为与偏好分析深入，挖掘出未满足的需求或潜在动机。</w:t>
      </w:r>
    </w:p>
    <w:p w14:paraId="32395B2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研判前瞻性（20分）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对趋势判断基于扎实分析，观点具有创新性和前瞻性，能突破行业普遍认知。</w:t>
      </w:r>
    </w:p>
    <w:p w14:paraId="26964CD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建议实操性（20分）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提出的展会策划或企业发展建议具有创意和新意</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商业</w:t>
      </w:r>
      <w:r>
        <w:rPr>
          <w:rFonts w:hint="eastAsia" w:ascii="Times New Roman" w:hAnsi="Times New Roman" w:eastAsia="仿宋_GB2312" w:cs="Times New Roman"/>
          <w:sz w:val="32"/>
          <w:szCs w:val="32"/>
          <w:highlight w:val="none"/>
          <w:lang w:val="en-US" w:eastAsia="zh-CN"/>
        </w:rPr>
        <w:t>上</w:t>
      </w:r>
      <w:r>
        <w:rPr>
          <w:rFonts w:hint="default" w:ascii="Times New Roman" w:hAnsi="Times New Roman" w:eastAsia="仿宋_GB2312" w:cs="Times New Roman"/>
          <w:sz w:val="32"/>
          <w:szCs w:val="32"/>
          <w:highlight w:val="none"/>
          <w:lang w:val="en-US" w:eastAsia="zh-CN"/>
        </w:rPr>
        <w:t>可行</w:t>
      </w:r>
      <w:r>
        <w:rPr>
          <w:rFonts w:hint="eastAsia" w:ascii="Times New Roman" w:hAnsi="Times New Roman" w:eastAsia="仿宋_GB2312" w:cs="Times New Roman"/>
          <w:sz w:val="32"/>
          <w:szCs w:val="32"/>
          <w:highlight w:val="none"/>
          <w:lang w:val="en-US" w:eastAsia="zh-CN"/>
        </w:rPr>
        <w:t>，具有</w:t>
      </w:r>
      <w:r>
        <w:rPr>
          <w:rFonts w:hint="default" w:ascii="Times New Roman" w:hAnsi="Times New Roman" w:eastAsia="仿宋_GB2312" w:cs="Times New Roman"/>
          <w:sz w:val="32"/>
          <w:szCs w:val="32"/>
          <w:highlight w:val="none"/>
          <w:lang w:val="en-US" w:eastAsia="zh-CN"/>
        </w:rPr>
        <w:t>行业价值或社会价值。</w:t>
      </w:r>
    </w:p>
    <w:p w14:paraId="52B2564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文本专业性（20分）：论证过程严密，逻辑</w:t>
      </w:r>
      <w:r>
        <w:rPr>
          <w:rFonts w:hint="eastAsia" w:ascii="Times New Roman" w:hAnsi="Times New Roman" w:eastAsia="仿宋_GB2312" w:cs="Times New Roman"/>
          <w:sz w:val="32"/>
          <w:szCs w:val="32"/>
          <w:highlight w:val="none"/>
          <w:lang w:val="en-US" w:eastAsia="zh-CN"/>
        </w:rPr>
        <w:t>性强：</w:t>
      </w:r>
      <w:r>
        <w:rPr>
          <w:rFonts w:hint="default" w:ascii="Times New Roman" w:hAnsi="Times New Roman" w:eastAsia="仿宋_GB2312" w:cs="Times New Roman"/>
          <w:sz w:val="32"/>
          <w:szCs w:val="32"/>
          <w:highlight w:val="none"/>
          <w:lang w:val="en-US" w:eastAsia="zh-CN"/>
        </w:rPr>
        <w:t>表述专业，图文表搭配得当，可视化效果清晰美观。</w:t>
      </w:r>
    </w:p>
    <w:p w14:paraId="6C58C4D7">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仿宋_GB2312" w:cs="仿宋_GB2312"/>
          <w:b/>
          <w:bCs/>
          <w:sz w:val="32"/>
          <w:szCs w:val="32"/>
          <w:highlight w:val="none"/>
          <w:lang w:val="en-US" w:eastAsia="zh-CN"/>
        </w:rPr>
        <w:t>需求解码——新消费品牌成长实战</w:t>
      </w:r>
    </w:p>
    <w:p w14:paraId="01737E0B">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理解与诊断（20分）：精准理解企业核心痛点与真实需求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基于充分的品牌、行业及竞品调研进行分析，问题诊断切中要害。</w:t>
      </w:r>
    </w:p>
    <w:p w14:paraId="563FFD3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创意与创新（30分）</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方案</w:t>
      </w:r>
      <w:r>
        <w:rPr>
          <w:rFonts w:hint="eastAsia" w:ascii="Times New Roman" w:hAnsi="Times New Roman" w:eastAsia="仿宋_GB2312" w:cs="Times New Roman"/>
          <w:sz w:val="32"/>
          <w:szCs w:val="32"/>
          <w:highlight w:val="none"/>
          <w:lang w:val="en-US" w:eastAsia="zh-CN"/>
        </w:rPr>
        <w:t>具有</w:t>
      </w:r>
      <w:r>
        <w:rPr>
          <w:rFonts w:hint="default" w:ascii="Times New Roman" w:hAnsi="Times New Roman" w:eastAsia="仿宋_GB2312" w:cs="Times New Roman"/>
          <w:sz w:val="32"/>
          <w:szCs w:val="32"/>
          <w:highlight w:val="none"/>
          <w:lang w:val="en-US" w:eastAsia="zh-CN"/>
        </w:rPr>
        <w:t>创新性、原创性和吸引力</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创造性地运用AI、会展、整合传播等多元手段，且与品牌调性高度契合。</w:t>
      </w:r>
    </w:p>
    <w:p w14:paraId="5990BB5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完整与可行（30分）：方案是否结构完整，涵盖策略、创意、执行、评估等关键环节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是否具备较高的可操作性。</w:t>
      </w:r>
    </w:p>
    <w:p w14:paraId="6C193B6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default" w:ascii="Times New Roman" w:hAnsi="Times New Roman" w:eastAsia="仿宋_GB2312" w:cs="仿宋_GB2312"/>
          <w:sz w:val="32"/>
          <w:szCs w:val="32"/>
          <w:highlight w:val="none"/>
          <w:lang w:val="en-US" w:eastAsia="zh-CN"/>
        </w:rPr>
        <w:t>价值与潜力（</w:t>
      </w:r>
      <w:r>
        <w:rPr>
          <w:rFonts w:hint="default" w:ascii="Times New Roman" w:hAnsi="Times New Roman" w:eastAsia="仿宋_GB2312" w:cs="Times New Roman"/>
          <w:sz w:val="32"/>
          <w:szCs w:val="32"/>
          <w:highlight w:val="none"/>
          <w:lang w:val="en-US" w:eastAsia="zh-CN"/>
        </w:rPr>
        <w:t>20</w:t>
      </w:r>
      <w:r>
        <w:rPr>
          <w:rFonts w:hint="default" w:ascii="Times New Roman" w:hAnsi="Times New Roman" w:eastAsia="仿宋_GB2312" w:cs="仿宋_GB2312"/>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方案是否清</w:t>
      </w:r>
      <w:r>
        <w:rPr>
          <w:rFonts w:hint="eastAsia" w:ascii="Times New Roman" w:hAnsi="Times New Roman" w:eastAsia="仿宋_GB2312" w:cs="仿宋_GB2312"/>
          <w:sz w:val="32"/>
          <w:szCs w:val="32"/>
          <w:highlight w:val="none"/>
          <w:lang w:val="en-US" w:eastAsia="zh-CN"/>
        </w:rPr>
        <w:t>晰地</w:t>
      </w:r>
      <w:r>
        <w:rPr>
          <w:rFonts w:hint="default" w:ascii="Times New Roman" w:hAnsi="Times New Roman" w:eastAsia="仿宋_GB2312" w:cs="仿宋_GB2312"/>
          <w:sz w:val="32"/>
          <w:szCs w:val="32"/>
          <w:highlight w:val="none"/>
          <w:lang w:val="en-US" w:eastAsia="zh-CN"/>
        </w:rPr>
        <w:t>阐述了其可预期的商业成果</w:t>
      </w:r>
      <w:r>
        <w:rPr>
          <w:rFonts w:hint="eastAsia" w:ascii="Times New Roman" w:hAnsi="Times New Roman" w:eastAsia="仿宋_GB2312" w:cs="仿宋_GB2312"/>
          <w:sz w:val="32"/>
          <w:szCs w:val="32"/>
          <w:highlight w:val="none"/>
          <w:lang w:val="en-US" w:eastAsia="zh-CN"/>
        </w:rPr>
        <w:t>；</w:t>
      </w:r>
      <w:r>
        <w:rPr>
          <w:rFonts w:hint="default" w:ascii="Times New Roman" w:hAnsi="Times New Roman" w:eastAsia="仿宋_GB2312" w:cs="仿宋_GB2312"/>
          <w:sz w:val="32"/>
          <w:szCs w:val="32"/>
          <w:highlight w:val="none"/>
          <w:lang w:val="en-US" w:eastAsia="zh-CN"/>
        </w:rPr>
        <w:t>是否具备向实际应用转化的清晰路径，可复制的潜力。</w:t>
      </w:r>
    </w:p>
    <w:p w14:paraId="406AE98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（二）会展设计赛道</w:t>
      </w:r>
    </w:p>
    <w:p w14:paraId="35F11586">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仿宋_GB2312" w:cs="仿宋_GB2312"/>
          <w:b/>
          <w:bCs/>
          <w:sz w:val="32"/>
          <w:szCs w:val="32"/>
          <w:highlight w:val="none"/>
          <w:lang w:val="en-US" w:eastAsia="zh-CN"/>
        </w:rPr>
        <w:t>新时代的中国会展设计</w:t>
      </w:r>
    </w:p>
    <w:p w14:paraId="73956879">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参照新时代的中国会展策划评分标准，设计案参照开化专项赛评分标准。</w:t>
      </w:r>
    </w:p>
    <w:p w14:paraId="0C886FD7">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方正仿宋_GB2312"/>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2</w:t>
      </w:r>
      <w:r>
        <w:rPr>
          <w:rFonts w:hint="eastAsia" w:ascii="Times New Roman" w:hAnsi="Times New Roman" w:eastAsia="方正仿宋_GB2312" w:cs="方正仿宋_GB2312"/>
          <w:b/>
          <w:bCs/>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浙江省在地文化遗产</w:t>
      </w:r>
      <w:r>
        <w:rPr>
          <w:rFonts w:hint="eastAsia" w:ascii="Times New Roman" w:hAnsi="Times New Roman" w:eastAsia="仿宋_GB2312" w:cs="仿宋_GB2312"/>
          <w:b/>
          <w:bCs/>
          <w:sz w:val="32"/>
          <w:szCs w:val="32"/>
          <w:highlight w:val="none"/>
          <w:lang w:val="en-US" w:eastAsia="zh-CN"/>
        </w:rPr>
        <w:t>云展设计</w:t>
      </w:r>
    </w:p>
    <w:p w14:paraId="0E0E50AE">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图文设计</w:t>
      </w:r>
      <w:r>
        <w:rPr>
          <w:rFonts w:hint="eastAsia" w:ascii="Times New Roman" w:hAnsi="Times New Roman" w:eastAsia="仿宋_GB2312" w:cs="Times New Roman"/>
          <w:b w:val="0"/>
          <w:bCs w:val="0"/>
          <w:sz w:val="32"/>
          <w:szCs w:val="32"/>
          <w:highlight w:val="none"/>
          <w:lang w:val="en-US" w:eastAsia="zh-CN"/>
        </w:rPr>
        <w:t>分（30分）：贴合展览主题，视觉设计优秀，有创新性；</w:t>
      </w:r>
    </w:p>
    <w:p w14:paraId="31040C34">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空间设计分（20分）：空间规划合理，展览线路清楚；</w:t>
      </w:r>
    </w:p>
    <w:p w14:paraId="4E4F3881">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交互设计分（30分</w:t>
      </w:r>
      <w:r>
        <w:rPr>
          <w:rFonts w:hint="eastAsia" w:ascii="Times New Roman" w:hAnsi="Times New Roman" w:eastAsia="仿宋_GB2312" w:cs="仿宋_GB2312"/>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UI</w:t>
      </w:r>
      <w:r>
        <w:rPr>
          <w:rFonts w:hint="eastAsia" w:ascii="Times New Roman" w:hAnsi="Times New Roman" w:eastAsia="仿宋_GB2312" w:cs="仿宋_GB2312"/>
          <w:b w:val="0"/>
          <w:bCs w:val="0"/>
          <w:sz w:val="32"/>
          <w:szCs w:val="32"/>
          <w:highlight w:val="none"/>
          <w:lang w:val="en-US" w:eastAsia="zh-CN"/>
        </w:rPr>
        <w:t>设计风格统一，交互方式合理；</w:t>
      </w:r>
    </w:p>
    <w:p w14:paraId="67A692F2">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策划质量分（</w:t>
      </w:r>
      <w:r>
        <w:rPr>
          <w:rFonts w:hint="default" w:ascii="Times New Roman" w:hAnsi="Times New Roman" w:eastAsia="仿宋_GB2312" w:cs="Times New Roman"/>
          <w:b w:val="0"/>
          <w:bCs w:val="0"/>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分）：策划内容条理清晰，文案优美。</w:t>
      </w:r>
    </w:p>
    <w:p w14:paraId="3E9C2E1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（三）会展传播赛道</w:t>
      </w:r>
    </w:p>
    <w:p w14:paraId="16A875BF">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val="0"/>
          <w:sz w:val="32"/>
          <w:szCs w:val="32"/>
          <w:highlight w:val="none"/>
          <w:lang w:val="en-US" w:eastAsia="zh-CN"/>
        </w:rPr>
      </w:pPr>
      <w:r>
        <w:rPr>
          <w:rFonts w:hint="default" w:ascii="Times New Roman" w:hAnsi="Times New Roman" w:eastAsia="仿宋_GB2312" w:cs="Times New Roman Regular"/>
          <w:b/>
          <w:bCs w:val="0"/>
          <w:sz w:val="32"/>
          <w:szCs w:val="32"/>
          <w:highlight w:val="none"/>
          <w:lang w:val="en-US" w:eastAsia="zh-CN"/>
        </w:rPr>
        <w:t>1.</w:t>
      </w:r>
      <w:r>
        <w:rPr>
          <w:rFonts w:hint="eastAsia" w:ascii="Times New Roman" w:hAnsi="Times New Roman" w:eastAsia="仿宋_GB2312" w:cs="Times New Roman Regular"/>
          <w:b/>
          <w:bCs w:val="0"/>
          <w:sz w:val="32"/>
          <w:szCs w:val="32"/>
          <w:highlight w:val="none"/>
          <w:lang w:val="en-US" w:eastAsia="zh-CN"/>
        </w:rPr>
        <w:t xml:space="preserve"> </w:t>
      </w:r>
      <w:r>
        <w:rPr>
          <w:rFonts w:hint="eastAsia" w:ascii="Times New Roman" w:hAnsi="Times New Roman" w:eastAsia="方正仿宋_GB2312" w:cs="Times New Roman"/>
          <w:b/>
          <w:bCs/>
          <w:sz w:val="32"/>
          <w:szCs w:val="32"/>
          <w:highlight w:val="none"/>
          <w:lang w:val="en-US" w:eastAsia="zh-CN"/>
        </w:rPr>
        <w:t>浙江省会展国际传播赛</w:t>
      </w:r>
    </w:p>
    <w:p w14:paraId="55CAA0A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参照书画中国多语种讲解赛评分标准。</w:t>
      </w:r>
    </w:p>
    <w:p w14:paraId="012BA523">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val="0"/>
          <w:sz w:val="32"/>
          <w:szCs w:val="32"/>
          <w:highlight w:val="none"/>
          <w:lang w:val="en-US" w:eastAsia="zh-CN"/>
        </w:rPr>
      </w:pPr>
      <w:r>
        <w:rPr>
          <w:rFonts w:hint="eastAsia" w:ascii="Times New Roman" w:hAnsi="Times New Roman" w:eastAsia="仿宋_GB2312" w:cs="Times New Roman Regular"/>
          <w:b/>
          <w:bCs w:val="0"/>
          <w:sz w:val="32"/>
          <w:szCs w:val="32"/>
          <w:highlight w:val="none"/>
          <w:lang w:val="en-US" w:eastAsia="zh-CN"/>
        </w:rPr>
        <w:t>2</w:t>
      </w:r>
      <w:r>
        <w:rPr>
          <w:rFonts w:hint="default" w:ascii="Times New Roman" w:hAnsi="Times New Roman" w:eastAsia="仿宋_GB2312" w:cs="Times New Roman Regular"/>
          <w:b/>
          <w:bCs w:val="0"/>
          <w:sz w:val="32"/>
          <w:szCs w:val="32"/>
          <w:highlight w:val="none"/>
          <w:lang w:val="en-US" w:eastAsia="zh-CN"/>
        </w:rPr>
        <w:t>.</w:t>
      </w:r>
      <w:r>
        <w:rPr>
          <w:rFonts w:hint="eastAsia" w:ascii="Times New Roman" w:hAnsi="Times New Roman" w:eastAsia="仿宋_GB2312" w:cs="Times New Roman Regular"/>
          <w:b/>
          <w:bCs w:val="0"/>
          <w:sz w:val="32"/>
          <w:szCs w:val="32"/>
          <w:highlight w:val="none"/>
          <w:lang w:val="en-US" w:eastAsia="zh-CN"/>
        </w:rPr>
        <w:t xml:space="preserve"> </w:t>
      </w:r>
      <w:r>
        <w:rPr>
          <w:rFonts w:hint="default" w:ascii="Times New Roman" w:hAnsi="Times New Roman" w:eastAsia="仿宋_GB2312" w:cs="Times New Roman Regular"/>
          <w:b/>
          <w:bCs w:val="0"/>
          <w:sz w:val="32"/>
          <w:szCs w:val="32"/>
          <w:highlight w:val="none"/>
          <w:lang w:val="en-US" w:eastAsia="zh-CN"/>
        </w:rPr>
        <w:t>书画中国多语种讲解赛</w:t>
      </w:r>
    </w:p>
    <w:p w14:paraId="1CFADFD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讲解：</w:t>
      </w:r>
    </w:p>
    <w:p w14:paraId="09477635">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选题价</w:t>
      </w:r>
      <w:r>
        <w:rPr>
          <w:rFonts w:hint="default" w:ascii="Times New Roman" w:hAnsi="Times New Roman" w:eastAsia="仿宋_GB2312" w:cs="Times New Roman"/>
          <w:sz w:val="32"/>
          <w:szCs w:val="32"/>
          <w:highlight w:val="none"/>
          <w:lang w:val="en-US" w:eastAsia="zh-CN"/>
        </w:rPr>
        <w:t>值（15分）：现实价值和学术价值高。</w:t>
      </w:r>
    </w:p>
    <w:p w14:paraId="7847FE70">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文本形式（10分）：结构合理，</w:t>
      </w:r>
      <w:r>
        <w:rPr>
          <w:rFonts w:hint="eastAsia" w:ascii="Times New Roman" w:hAnsi="Times New Roman" w:eastAsia="仿宋_GB2312" w:cs="Times New Roman"/>
          <w:sz w:val="32"/>
          <w:szCs w:val="32"/>
          <w:highlight w:val="none"/>
          <w:lang w:val="en-US" w:eastAsia="zh-CN"/>
        </w:rPr>
        <w:t>写作</w:t>
      </w:r>
      <w:r>
        <w:rPr>
          <w:rFonts w:hint="default" w:ascii="Times New Roman" w:hAnsi="Times New Roman" w:eastAsia="仿宋_GB2312" w:cs="Times New Roman"/>
          <w:sz w:val="32"/>
          <w:szCs w:val="32"/>
          <w:highlight w:val="none"/>
          <w:lang w:val="en-US" w:eastAsia="zh-CN"/>
        </w:rPr>
        <w:t>规范。</w:t>
      </w:r>
    </w:p>
    <w:p w14:paraId="51C8519F">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研究内容（15分）：史料翔实，内容丰富，论证严谨。</w:t>
      </w:r>
    </w:p>
    <w:p w14:paraId="02648EF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话题性强（10分）：语言通俗易懂，传播价值高。</w:t>
      </w:r>
    </w:p>
    <w:p w14:paraId="64D1A224">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礼仪规范（15分）：讲解仪态得体端庄，亲和自信</w:t>
      </w:r>
      <w:r>
        <w:rPr>
          <w:rFonts w:hint="eastAsia" w:ascii="Times New Roman" w:hAnsi="Times New Roman" w:eastAsia="仿宋_GB2312" w:cs="Times New Roman"/>
          <w:sz w:val="32"/>
          <w:szCs w:val="32"/>
          <w:highlight w:val="none"/>
          <w:lang w:val="en-US" w:eastAsia="zh-CN"/>
        </w:rPr>
        <w:t>。</w:t>
      </w:r>
    </w:p>
    <w:p w14:paraId="6015B43E">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语音面貌（10分）：语音状态积极；交流感；口齿清晰</w:t>
      </w:r>
      <w:r>
        <w:rPr>
          <w:rFonts w:hint="eastAsia" w:ascii="Times New Roman" w:hAnsi="Times New Roman" w:eastAsia="仿宋_GB2312" w:cs="Times New Roman"/>
          <w:sz w:val="32"/>
          <w:szCs w:val="32"/>
          <w:highlight w:val="none"/>
          <w:lang w:val="en-US" w:eastAsia="zh-CN"/>
        </w:rPr>
        <w:t>。</w:t>
      </w:r>
    </w:p>
    <w:p w14:paraId="202B822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专业程度（25分）：贴合画作；符合时代背景；政治导向正确；剪辑流畅；画质清晰；编排巧妙</w:t>
      </w:r>
      <w:r>
        <w:rPr>
          <w:rFonts w:hint="eastAsia" w:ascii="Times New Roman" w:hAnsi="Times New Roman" w:eastAsia="仿宋_GB2312" w:cs="Times New Roman"/>
          <w:sz w:val="32"/>
          <w:szCs w:val="32"/>
          <w:highlight w:val="none"/>
          <w:lang w:val="en-US" w:eastAsia="zh-CN"/>
        </w:rPr>
        <w:t>。</w:t>
      </w:r>
    </w:p>
    <w:p w14:paraId="4C19320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视频要求：5分钟左右</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mp4/avi/wmv格式，不超过600M。</w:t>
      </w:r>
    </w:p>
    <w:p w14:paraId="066F579C">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表演：</w:t>
      </w:r>
    </w:p>
    <w:p w14:paraId="7171BCA1">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妆饰切</w:t>
      </w:r>
      <w:r>
        <w:rPr>
          <w:rFonts w:hint="default" w:ascii="Times New Roman" w:hAnsi="Times New Roman" w:eastAsia="仿宋_GB2312" w:cs="Times New Roman"/>
          <w:sz w:val="32"/>
          <w:szCs w:val="32"/>
          <w:highlight w:val="none"/>
          <w:lang w:val="en-US" w:eastAsia="zh-CN"/>
        </w:rPr>
        <w:t>题（15分）：与画作、舞台的贴合程度</w:t>
      </w:r>
      <w:r>
        <w:rPr>
          <w:rFonts w:hint="eastAsia" w:ascii="Times New Roman" w:hAnsi="Times New Roman" w:eastAsia="仿宋_GB2312" w:cs="Times New Roman"/>
          <w:sz w:val="32"/>
          <w:szCs w:val="32"/>
          <w:highlight w:val="none"/>
          <w:lang w:val="en-US" w:eastAsia="zh-CN"/>
        </w:rPr>
        <w:t>。</w:t>
      </w:r>
    </w:p>
    <w:p w14:paraId="45C9B388">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综合创意（25分）：舞台设计、</w:t>
      </w:r>
      <w:r>
        <w:rPr>
          <w:rFonts w:hint="eastAsia" w:ascii="Times New Roman" w:hAnsi="Times New Roman" w:eastAsia="仿宋_GB2312" w:cs="Times New Roman"/>
          <w:sz w:val="32"/>
          <w:szCs w:val="32"/>
          <w:highlight w:val="none"/>
          <w:lang w:val="en-US" w:eastAsia="zh-CN"/>
        </w:rPr>
        <w:t>表演</w:t>
      </w:r>
      <w:r>
        <w:rPr>
          <w:rFonts w:hint="default" w:ascii="Times New Roman" w:hAnsi="Times New Roman" w:eastAsia="仿宋_GB2312" w:cs="Times New Roman"/>
          <w:sz w:val="32"/>
          <w:szCs w:val="32"/>
          <w:highlight w:val="none"/>
          <w:lang w:val="en-US" w:eastAsia="zh-CN"/>
        </w:rPr>
        <w:t>设计等方面创新</w:t>
      </w:r>
      <w:r>
        <w:rPr>
          <w:rFonts w:hint="eastAsia" w:ascii="Times New Roman" w:hAnsi="Times New Roman" w:eastAsia="仿宋_GB2312" w:cs="Times New Roman"/>
          <w:sz w:val="32"/>
          <w:szCs w:val="32"/>
          <w:highlight w:val="none"/>
          <w:lang w:val="en-US" w:eastAsia="zh-CN"/>
        </w:rPr>
        <w:t>。</w:t>
      </w:r>
    </w:p>
    <w:p w14:paraId="28609FCA">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表现能力（15分）：选手综合表现能力</w:t>
      </w:r>
      <w:r>
        <w:rPr>
          <w:rFonts w:hint="eastAsia" w:ascii="Times New Roman" w:hAnsi="Times New Roman" w:eastAsia="仿宋_GB2312" w:cs="Times New Roman"/>
          <w:sz w:val="32"/>
          <w:szCs w:val="32"/>
          <w:highlight w:val="none"/>
          <w:lang w:val="en-US" w:eastAsia="zh-CN"/>
        </w:rPr>
        <w:t>。</w:t>
      </w:r>
    </w:p>
    <w:p w14:paraId="10A0FD63">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表演</w:t>
      </w:r>
      <w:r>
        <w:rPr>
          <w:rFonts w:hint="default" w:ascii="Times New Roman" w:hAnsi="Times New Roman" w:eastAsia="仿宋_GB2312" w:cs="Times New Roman"/>
          <w:sz w:val="32"/>
          <w:szCs w:val="32"/>
          <w:highlight w:val="none"/>
          <w:lang w:val="en-US" w:eastAsia="zh-CN"/>
        </w:rPr>
        <w:t>内容（25分）：</w:t>
      </w:r>
      <w:r>
        <w:rPr>
          <w:rFonts w:hint="eastAsia" w:ascii="Times New Roman" w:hAnsi="Times New Roman" w:eastAsia="仿宋_GB2312" w:cs="Times New Roman"/>
          <w:sz w:val="32"/>
          <w:szCs w:val="32"/>
          <w:highlight w:val="none"/>
          <w:lang w:val="en-US" w:eastAsia="zh-CN"/>
        </w:rPr>
        <w:t>有深度、广度及准确度、新颖程度。</w:t>
      </w:r>
    </w:p>
    <w:p w14:paraId="1C5638BD">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语言表</w:t>
      </w:r>
      <w:r>
        <w:rPr>
          <w:rFonts w:hint="default" w:ascii="Times New Roman" w:hAnsi="Times New Roman" w:eastAsia="仿宋_GB2312" w:cs="Times New Roman"/>
          <w:sz w:val="32"/>
          <w:szCs w:val="32"/>
          <w:highlight w:val="none"/>
          <w:lang w:val="en-US" w:eastAsia="zh-CN"/>
        </w:rPr>
        <w:t>达（20分）：</w:t>
      </w:r>
      <w:r>
        <w:rPr>
          <w:rFonts w:hint="default" w:ascii="Times New Roman" w:hAnsi="Times New Roman" w:eastAsia="仿宋_GB2312" w:cs="仿宋_GB2312"/>
          <w:sz w:val="32"/>
          <w:szCs w:val="32"/>
          <w:highlight w:val="none"/>
          <w:lang w:val="en-US" w:eastAsia="zh-CN"/>
        </w:rPr>
        <w:t>语言表达得体；挖掘画作深层价值</w:t>
      </w:r>
      <w:r>
        <w:rPr>
          <w:rFonts w:hint="eastAsia" w:ascii="Times New Roman" w:hAnsi="Times New Roman" w:eastAsia="仿宋_GB2312" w:cs="仿宋_GB2312"/>
          <w:sz w:val="32"/>
          <w:szCs w:val="32"/>
          <w:highlight w:val="none"/>
          <w:lang w:val="en-US" w:eastAsia="zh-CN"/>
        </w:rPr>
        <w:t>。</w:t>
      </w:r>
    </w:p>
    <w:p w14:paraId="4C0BE724">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（四）公益专项赛道</w:t>
      </w:r>
    </w:p>
    <w:p w14:paraId="5F9D7E6E">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1. 金华山国际会展传播</w:t>
      </w:r>
    </w:p>
    <w:p w14:paraId="4B76E19F">
      <w:pPr>
        <w:keepNext w:val="0"/>
        <w:keepLines w:val="0"/>
        <w:pageBreakBefore w:val="0"/>
        <w:kinsoku/>
        <w:wordWrap/>
        <w:overflowPunct/>
        <w:topLinePunct w:val="0"/>
        <w:autoSpaceDE/>
        <w:autoSpaceDN/>
        <w:bidi w:val="0"/>
        <w:spacing w:line="580" w:lineRule="exact"/>
        <w:ind w:firstLine="640" w:firstLineChars="200"/>
        <w:jc w:val="both"/>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参照新时代的中国会展策划评分标准，短视频参照龙游文旅会展传播短视频评分标准，</w:t>
      </w:r>
      <w:r>
        <w:rPr>
          <w:rFonts w:hint="eastAsia" w:ascii="Times New Roman" w:hAnsi="Times New Roman" w:eastAsia="仿宋_GB2312" w:cs="仿宋_GB2312"/>
          <w:sz w:val="32"/>
          <w:szCs w:val="32"/>
          <w:highlight w:val="none"/>
          <w:lang w:val="en-US" w:eastAsia="zh-CN"/>
        </w:rPr>
        <w:t>设计案参照开化专项赛评分标准。</w:t>
      </w:r>
    </w:p>
    <w:p w14:paraId="3626AB6B">
      <w:pPr>
        <w:keepNext w:val="0"/>
        <w:keepLines w:val="0"/>
        <w:pageBreakBefore w:val="0"/>
        <w:numPr>
          <w:ilvl w:val="0"/>
          <w:numId w:val="3"/>
        </w:numPr>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Times New Roman"/>
          <w:b/>
          <w:bCs/>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龙游专项赛</w:t>
      </w:r>
    </w:p>
    <w:p w14:paraId="3178EB6B">
      <w:pPr>
        <w:tabs>
          <w:tab w:val="left" w:pos="1253"/>
        </w:tabs>
        <w:spacing w:line="360" w:lineRule="auto"/>
        <w:ind w:firstLine="643" w:firstLineChars="200"/>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龙游文旅会展传播</w:t>
      </w:r>
    </w:p>
    <w:p w14:paraId="01389E97">
      <w:pPr>
        <w:keepNext w:val="0"/>
        <w:keepLines w:val="0"/>
        <w:pageBreakBefore w:val="0"/>
        <w:kinsoku/>
        <w:wordWrap/>
        <w:overflowPunct/>
        <w:topLinePunct w:val="0"/>
        <w:autoSpaceDE/>
        <w:autoSpaceDN/>
        <w:bidi w:val="0"/>
        <w:spacing w:line="580" w:lineRule="exact"/>
        <w:ind w:firstLine="640" w:firstLineChars="200"/>
        <w:jc w:val="both"/>
        <w:rPr>
          <w:rFonts w:hint="eastAsia" w:ascii="Times New Roman" w:hAnsi="Times New Roman" w:eastAsia="仿宋_GB2312" w:cs="仿宋_GB2312"/>
          <w:kern w:val="2"/>
          <w:sz w:val="32"/>
          <w:szCs w:val="32"/>
          <w:highlight w:val="none"/>
          <w:lang w:val="en-US" w:eastAsia="zh-CN" w:bidi="ar-SA"/>
        </w:rPr>
      </w:pPr>
      <w:r>
        <w:rPr>
          <w:rFonts w:hint="eastAsia" w:ascii="Times New Roman" w:hAnsi="Times New Roman" w:eastAsia="仿宋_GB2312" w:cs="仿宋_GB2312"/>
          <w:sz w:val="32"/>
          <w:szCs w:val="32"/>
          <w:highlight w:val="none"/>
          <w:lang w:val="en-US" w:eastAsia="zh-CN"/>
        </w:rPr>
        <w:t>策划案参照新时代的中国会展策划评分标准，设计案参照开化专项赛评分标准。短视频复赛</w:t>
      </w:r>
      <w:r>
        <w:rPr>
          <w:rFonts w:hint="eastAsia" w:ascii="Times New Roman" w:hAnsi="Times New Roman" w:eastAsia="仿宋_GB2312" w:cs="仿宋_GB2312"/>
          <w:sz w:val="32"/>
          <w:szCs w:val="32"/>
          <w:highlight w:val="none"/>
        </w:rPr>
        <w:t>评分标准</w:t>
      </w:r>
      <w:r>
        <w:rPr>
          <w:rFonts w:hint="eastAsia" w:ascii="Times New Roman" w:hAnsi="Times New Roman" w:eastAsia="仿宋_GB2312" w:cs="仿宋_GB2312"/>
          <w:sz w:val="32"/>
          <w:szCs w:val="32"/>
          <w:highlight w:val="none"/>
          <w:lang w:val="en-US" w:eastAsia="zh-CN"/>
        </w:rPr>
        <w:t>如下：</w:t>
      </w:r>
    </w:p>
    <w:tbl>
      <w:tblPr>
        <w:tblStyle w:val="3"/>
        <w:tblpPr w:leftFromText="180" w:rightFromText="180" w:vertAnchor="text" w:horzAnchor="page" w:tblpX="1622" w:tblpY="501"/>
        <w:tblOverlap w:val="never"/>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530"/>
        <w:gridCol w:w="910"/>
        <w:gridCol w:w="4960"/>
      </w:tblGrid>
      <w:tr w14:paraId="422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65" w:type="dxa"/>
            <w:vMerge w:val="restart"/>
          </w:tcPr>
          <w:p w14:paraId="7A06A2A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视频内容</w:t>
            </w:r>
          </w:p>
        </w:tc>
        <w:tc>
          <w:tcPr>
            <w:tcW w:w="1530" w:type="dxa"/>
          </w:tcPr>
          <w:p w14:paraId="1DE3D9B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指标</w:t>
            </w:r>
          </w:p>
        </w:tc>
        <w:tc>
          <w:tcPr>
            <w:tcW w:w="910" w:type="dxa"/>
          </w:tcPr>
          <w:p w14:paraId="0D8A5DC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分值</w:t>
            </w:r>
          </w:p>
        </w:tc>
        <w:tc>
          <w:tcPr>
            <w:tcW w:w="4960" w:type="dxa"/>
          </w:tcPr>
          <w:p w14:paraId="06B88F0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备注</w:t>
            </w:r>
          </w:p>
        </w:tc>
      </w:tr>
      <w:tr w14:paraId="5E3C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D4FC25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2B2D80F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话题性</w:t>
            </w:r>
          </w:p>
        </w:tc>
        <w:tc>
          <w:tcPr>
            <w:tcW w:w="910" w:type="dxa"/>
          </w:tcPr>
          <w:p w14:paraId="54C681CE">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c>
          <w:tcPr>
            <w:tcW w:w="4960" w:type="dxa"/>
          </w:tcPr>
          <w:p w14:paraId="6B6C4C5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和话题相关程度</w:t>
            </w:r>
          </w:p>
        </w:tc>
      </w:tr>
      <w:tr w14:paraId="348F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5" w:type="dxa"/>
            <w:vMerge w:val="continue"/>
          </w:tcPr>
          <w:p w14:paraId="4A456BA0">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58F41D10">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内容质量</w:t>
            </w:r>
          </w:p>
        </w:tc>
        <w:tc>
          <w:tcPr>
            <w:tcW w:w="910" w:type="dxa"/>
          </w:tcPr>
          <w:p w14:paraId="6DE9D119">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40</w:t>
            </w:r>
          </w:p>
        </w:tc>
        <w:tc>
          <w:tcPr>
            <w:tcW w:w="4960" w:type="dxa"/>
          </w:tcPr>
          <w:p w14:paraId="0808557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地区代表性、有记忆点且具创作力</w:t>
            </w:r>
          </w:p>
        </w:tc>
      </w:tr>
      <w:tr w14:paraId="2B41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26B105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58ADF10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现场讲解</w:t>
            </w:r>
          </w:p>
        </w:tc>
        <w:tc>
          <w:tcPr>
            <w:tcW w:w="910" w:type="dxa"/>
          </w:tcPr>
          <w:p w14:paraId="3E512454">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c>
          <w:tcPr>
            <w:tcW w:w="4960" w:type="dxa"/>
          </w:tcPr>
          <w:p w14:paraId="127B4A5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实地体验，并现场讲解</w:t>
            </w:r>
          </w:p>
        </w:tc>
      </w:tr>
      <w:tr w14:paraId="73F0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65" w:type="dxa"/>
            <w:vMerge w:val="restart"/>
          </w:tcPr>
          <w:p w14:paraId="1382B4F1">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方正仿宋_GB2312"/>
                <w:kern w:val="2"/>
                <w:sz w:val="32"/>
                <w:szCs w:val="32"/>
                <w:highlight w:val="none"/>
                <w:lang w:val="en-US" w:eastAsia="zh-CN" w:bidi="ar-SA"/>
              </w:rPr>
            </w:pPr>
            <w:r>
              <w:rPr>
                <w:rFonts w:hint="eastAsia" w:ascii="Times New Roman" w:hAnsi="Times New Roman" w:eastAsia="仿宋_GB2312" w:cs="仿宋_GB2312"/>
                <w:b w:val="0"/>
                <w:bCs w:val="0"/>
                <w:sz w:val="32"/>
                <w:szCs w:val="32"/>
                <w:highlight w:val="none"/>
                <w:lang w:val="en-US" w:eastAsia="zh-CN"/>
              </w:rPr>
              <w:t>视频质量</w:t>
            </w:r>
          </w:p>
        </w:tc>
        <w:tc>
          <w:tcPr>
            <w:tcW w:w="1530" w:type="dxa"/>
          </w:tcPr>
          <w:p w14:paraId="6EC02DFE">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背景音乐</w:t>
            </w:r>
          </w:p>
        </w:tc>
        <w:tc>
          <w:tcPr>
            <w:tcW w:w="910" w:type="dxa"/>
          </w:tcPr>
          <w:p w14:paraId="0AF00710">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57D5368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和内容更匹配、视频更具表现力</w:t>
            </w:r>
          </w:p>
        </w:tc>
      </w:tr>
      <w:tr w14:paraId="0A53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4FCE5507">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337E940B">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字幕显示</w:t>
            </w:r>
          </w:p>
        </w:tc>
        <w:tc>
          <w:tcPr>
            <w:tcW w:w="910" w:type="dxa"/>
          </w:tcPr>
          <w:p w14:paraId="18BC222C">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5E7EEF4B">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语言是否优美</w:t>
            </w:r>
          </w:p>
        </w:tc>
      </w:tr>
      <w:tr w14:paraId="14AB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2A08391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16653B4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画面质量</w:t>
            </w:r>
          </w:p>
        </w:tc>
        <w:tc>
          <w:tcPr>
            <w:tcW w:w="910" w:type="dxa"/>
          </w:tcPr>
          <w:p w14:paraId="5876FBD8">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2A9AD61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整体是否连贯顺畅、符合审美</w:t>
            </w:r>
          </w:p>
        </w:tc>
      </w:tr>
      <w:tr w14:paraId="6BFE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14:paraId="12D71FF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center"/>
              <w:rPr>
                <w:rFonts w:hint="eastAsia" w:ascii="Times New Roman" w:hAnsi="Times New Roman" w:eastAsia="方正仿宋_GB2312" w:cs="方正仿宋_GB2312"/>
                <w:kern w:val="2"/>
                <w:sz w:val="32"/>
                <w:szCs w:val="32"/>
                <w:highlight w:val="none"/>
                <w:lang w:val="en-US" w:eastAsia="zh-CN" w:bidi="ar-SA"/>
              </w:rPr>
            </w:pPr>
          </w:p>
        </w:tc>
        <w:tc>
          <w:tcPr>
            <w:tcW w:w="1530" w:type="dxa"/>
          </w:tcPr>
          <w:p w14:paraId="741974C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清晰度</w:t>
            </w:r>
          </w:p>
        </w:tc>
        <w:tc>
          <w:tcPr>
            <w:tcW w:w="910" w:type="dxa"/>
          </w:tcPr>
          <w:p w14:paraId="08B19235">
            <w:pPr>
              <w:keepNext w:val="0"/>
              <w:keepLines w:val="0"/>
              <w:pageBreakBefore w:val="0"/>
              <w:suppressLineNumbers w:val="0"/>
              <w:tabs>
                <w:tab w:val="left" w:pos="1253"/>
              </w:tabs>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5</w:t>
            </w:r>
          </w:p>
        </w:tc>
        <w:tc>
          <w:tcPr>
            <w:tcW w:w="4960" w:type="dxa"/>
          </w:tcPr>
          <w:p w14:paraId="606B27F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画面是否清晰</w:t>
            </w:r>
          </w:p>
        </w:tc>
      </w:tr>
    </w:tbl>
    <w:p w14:paraId="0B42973C">
      <w:pPr>
        <w:keepNext w:val="0"/>
        <w:keepLines w:val="0"/>
        <w:pageBreakBefore w:val="0"/>
        <w:widowControl w:val="0"/>
        <w:kinsoku/>
        <w:wordWrap/>
        <w:overflowPunct/>
        <w:topLinePunct w:val="0"/>
        <w:autoSpaceDE/>
        <w:autoSpaceDN/>
        <w:bidi w:val="0"/>
        <w:spacing w:line="580" w:lineRule="exact"/>
        <w:ind w:firstLine="3200" w:firstLineChars="1000"/>
        <w:jc w:val="both"/>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短视频决赛评分标准</w:t>
      </w:r>
    </w:p>
    <w:tbl>
      <w:tblPr>
        <w:tblStyle w:val="3"/>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870"/>
        <w:gridCol w:w="1111"/>
        <w:gridCol w:w="5054"/>
      </w:tblGrid>
      <w:tr w14:paraId="6040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1AFE83C5">
            <w:pPr>
              <w:keepNext w:val="0"/>
              <w:keepLines w:val="0"/>
              <w:suppressLineNumbers w:val="0"/>
              <w:spacing w:before="0" w:beforeAutospacing="0" w:after="0" w:afterAutospacing="0" w:line="580" w:lineRule="exact"/>
              <w:ind w:left="0" w:right="0"/>
              <w:jc w:val="center"/>
              <w:rPr>
                <w:rFonts w:hint="default" w:ascii="Times New Roman" w:hAnsi="Times New Roman" w:eastAsia="方正仿宋_GB2312" w:cs="方正仿宋_GB2312"/>
                <w:sz w:val="28"/>
                <w:szCs w:val="28"/>
                <w:highlight w:val="none"/>
              </w:rPr>
            </w:pPr>
            <w:r>
              <w:rPr>
                <w:rFonts w:hint="eastAsia" w:ascii="Times New Roman" w:hAnsi="Times New Roman" w:eastAsia="仿宋_GB2312" w:cs="仿宋_GB2312"/>
                <w:sz w:val="28"/>
                <w:szCs w:val="28"/>
                <w:highlight w:val="none"/>
              </w:rPr>
              <w:t>序号</w:t>
            </w:r>
          </w:p>
        </w:tc>
        <w:tc>
          <w:tcPr>
            <w:tcW w:w="1870" w:type="dxa"/>
            <w:vAlign w:val="top"/>
          </w:tcPr>
          <w:p w14:paraId="429DA26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指标</w:t>
            </w:r>
          </w:p>
        </w:tc>
        <w:tc>
          <w:tcPr>
            <w:tcW w:w="1111" w:type="dxa"/>
            <w:vAlign w:val="top"/>
          </w:tcPr>
          <w:p w14:paraId="18F36BA7">
            <w:pPr>
              <w:keepNext w:val="0"/>
              <w:keepLines w:val="0"/>
              <w:suppressLineNumbers w:val="0"/>
              <w:spacing w:before="0" w:beforeAutospacing="0" w:after="0" w:afterAutospacing="0" w:line="580" w:lineRule="exact"/>
              <w:ind w:left="0" w:right="0"/>
              <w:jc w:val="center"/>
              <w:rPr>
                <w:rFonts w:hint="default" w:ascii="Times New Roman" w:hAnsi="Times New Roman" w:eastAsia="方正仿宋_GB2312" w:cs="方正仿宋_GB2312"/>
                <w:sz w:val="28"/>
                <w:szCs w:val="28"/>
                <w:highlight w:val="none"/>
              </w:rPr>
            </w:pPr>
            <w:r>
              <w:rPr>
                <w:rFonts w:hint="eastAsia" w:ascii="Times New Roman" w:hAnsi="Times New Roman" w:eastAsia="仿宋_GB2312" w:cs="仿宋_GB2312"/>
                <w:sz w:val="28"/>
                <w:szCs w:val="28"/>
                <w:highlight w:val="none"/>
              </w:rPr>
              <w:t>分值</w:t>
            </w:r>
          </w:p>
        </w:tc>
        <w:tc>
          <w:tcPr>
            <w:tcW w:w="5054" w:type="dxa"/>
            <w:vMerge w:val="restart"/>
            <w:vAlign w:val="center"/>
          </w:tcPr>
          <w:p w14:paraId="1BBBC3D4">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自视频发布之日起至2026年10月30日中午12时大赛官方抖音号短视频的相关数据。决赛宣传加分5分办法将另行公布。</w:t>
            </w:r>
          </w:p>
        </w:tc>
      </w:tr>
      <w:tr w14:paraId="241E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6A2C3535">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1</w:t>
            </w:r>
          </w:p>
        </w:tc>
        <w:tc>
          <w:tcPr>
            <w:tcW w:w="1870" w:type="dxa"/>
            <w:vAlign w:val="top"/>
          </w:tcPr>
          <w:p w14:paraId="150D0A3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播放量</w:t>
            </w:r>
          </w:p>
        </w:tc>
        <w:tc>
          <w:tcPr>
            <w:tcW w:w="1111" w:type="dxa"/>
            <w:vAlign w:val="top"/>
          </w:tcPr>
          <w:p w14:paraId="109C286C">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30</w:t>
            </w:r>
          </w:p>
        </w:tc>
        <w:tc>
          <w:tcPr>
            <w:tcW w:w="5054" w:type="dxa"/>
            <w:vMerge w:val="continue"/>
            <w:vAlign w:val="top"/>
          </w:tcPr>
          <w:p w14:paraId="5E0D045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1AB5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89" w:type="dxa"/>
            <w:vAlign w:val="top"/>
          </w:tcPr>
          <w:p w14:paraId="7F9B4B22">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2</w:t>
            </w:r>
          </w:p>
        </w:tc>
        <w:tc>
          <w:tcPr>
            <w:tcW w:w="1870" w:type="dxa"/>
            <w:vAlign w:val="top"/>
          </w:tcPr>
          <w:p w14:paraId="406F7E59">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点赞量</w:t>
            </w:r>
          </w:p>
        </w:tc>
        <w:tc>
          <w:tcPr>
            <w:tcW w:w="1111" w:type="dxa"/>
            <w:vAlign w:val="top"/>
          </w:tcPr>
          <w:p w14:paraId="249A4CFD">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10</w:t>
            </w:r>
          </w:p>
        </w:tc>
        <w:tc>
          <w:tcPr>
            <w:tcW w:w="5054" w:type="dxa"/>
            <w:vMerge w:val="continue"/>
            <w:vAlign w:val="top"/>
          </w:tcPr>
          <w:p w14:paraId="4E18D65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19E6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89" w:type="dxa"/>
            <w:vAlign w:val="top"/>
          </w:tcPr>
          <w:p w14:paraId="49B5DD90">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3</w:t>
            </w:r>
          </w:p>
        </w:tc>
        <w:tc>
          <w:tcPr>
            <w:tcW w:w="1870" w:type="dxa"/>
            <w:vAlign w:val="top"/>
          </w:tcPr>
          <w:p w14:paraId="185E6C43">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评论量</w:t>
            </w:r>
          </w:p>
        </w:tc>
        <w:tc>
          <w:tcPr>
            <w:tcW w:w="1111" w:type="dxa"/>
            <w:vAlign w:val="top"/>
          </w:tcPr>
          <w:p w14:paraId="05899733">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5CB744DD">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5D19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68869C8">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4</w:t>
            </w:r>
          </w:p>
        </w:tc>
        <w:tc>
          <w:tcPr>
            <w:tcW w:w="1870" w:type="dxa"/>
            <w:vAlign w:val="top"/>
          </w:tcPr>
          <w:p w14:paraId="6F626081">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default"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转发量</w:t>
            </w:r>
          </w:p>
        </w:tc>
        <w:tc>
          <w:tcPr>
            <w:tcW w:w="1111" w:type="dxa"/>
            <w:vAlign w:val="top"/>
          </w:tcPr>
          <w:p w14:paraId="50B7F10B">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742AE88F">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eastAsia" w:ascii="Times New Roman" w:hAnsi="Times New Roman" w:eastAsia="仿宋_GB2312" w:cs="Times New Roman"/>
                <w:b w:val="0"/>
                <w:bCs w:val="0"/>
                <w:sz w:val="32"/>
                <w:szCs w:val="32"/>
                <w:highlight w:val="none"/>
                <w:lang w:val="en-US" w:eastAsia="zh-CN"/>
              </w:rPr>
            </w:pPr>
          </w:p>
        </w:tc>
      </w:tr>
      <w:tr w14:paraId="7853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6BDF6DD3">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5</w:t>
            </w:r>
          </w:p>
        </w:tc>
        <w:tc>
          <w:tcPr>
            <w:tcW w:w="1870" w:type="dxa"/>
            <w:vAlign w:val="top"/>
          </w:tcPr>
          <w:p w14:paraId="772F9392">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播放量</w:t>
            </w:r>
          </w:p>
        </w:tc>
        <w:tc>
          <w:tcPr>
            <w:tcW w:w="1111" w:type="dxa"/>
            <w:vAlign w:val="top"/>
          </w:tcPr>
          <w:p w14:paraId="7827F250">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30</w:t>
            </w:r>
          </w:p>
        </w:tc>
        <w:tc>
          <w:tcPr>
            <w:tcW w:w="5054" w:type="dxa"/>
            <w:vMerge w:val="restart"/>
            <w:vAlign w:val="top"/>
          </w:tcPr>
          <w:p w14:paraId="59C60CC6">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both"/>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自视频发布之日起至2026年10月30日中午12时微龙游、龙游文旅、龙游旅投集团微信视频号的相关数据（仅选取其中一条）。</w:t>
            </w:r>
          </w:p>
        </w:tc>
      </w:tr>
      <w:tr w14:paraId="1FB9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ADDD61B">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6</w:t>
            </w:r>
          </w:p>
        </w:tc>
        <w:tc>
          <w:tcPr>
            <w:tcW w:w="1870" w:type="dxa"/>
            <w:vAlign w:val="top"/>
          </w:tcPr>
          <w:p w14:paraId="09598D9A">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点赞量</w:t>
            </w:r>
          </w:p>
        </w:tc>
        <w:tc>
          <w:tcPr>
            <w:tcW w:w="1111" w:type="dxa"/>
            <w:vAlign w:val="top"/>
          </w:tcPr>
          <w:p w14:paraId="13CC50F6">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10</w:t>
            </w:r>
          </w:p>
        </w:tc>
        <w:tc>
          <w:tcPr>
            <w:tcW w:w="5054" w:type="dxa"/>
            <w:vMerge w:val="continue"/>
            <w:vAlign w:val="top"/>
          </w:tcPr>
          <w:p w14:paraId="6DAC2EE1">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r w14:paraId="7FC2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02470BE7">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7</w:t>
            </w:r>
          </w:p>
        </w:tc>
        <w:tc>
          <w:tcPr>
            <w:tcW w:w="1870" w:type="dxa"/>
            <w:vAlign w:val="top"/>
          </w:tcPr>
          <w:p w14:paraId="215B607E">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评论量</w:t>
            </w:r>
          </w:p>
        </w:tc>
        <w:tc>
          <w:tcPr>
            <w:tcW w:w="1111" w:type="dxa"/>
            <w:vAlign w:val="top"/>
          </w:tcPr>
          <w:p w14:paraId="0C830457">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6CC8554B">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r w14:paraId="6816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9" w:type="dxa"/>
            <w:vAlign w:val="top"/>
          </w:tcPr>
          <w:p w14:paraId="156CD392">
            <w:pPr>
              <w:keepNext w:val="0"/>
              <w:keepLines w:val="0"/>
              <w:suppressLineNumbers w:val="0"/>
              <w:spacing w:before="0" w:beforeAutospacing="0" w:after="0" w:afterAutospacing="0" w:line="580" w:lineRule="exact"/>
              <w:ind w:left="0" w:right="0"/>
              <w:jc w:val="center"/>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8</w:t>
            </w:r>
          </w:p>
        </w:tc>
        <w:tc>
          <w:tcPr>
            <w:tcW w:w="1870" w:type="dxa"/>
            <w:vAlign w:val="top"/>
          </w:tcPr>
          <w:p w14:paraId="65434688">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转发量</w:t>
            </w:r>
          </w:p>
        </w:tc>
        <w:tc>
          <w:tcPr>
            <w:tcW w:w="1111" w:type="dxa"/>
            <w:vAlign w:val="top"/>
          </w:tcPr>
          <w:p w14:paraId="4EE0EC39">
            <w:pPr>
              <w:keepNext w:val="0"/>
              <w:keepLines w:val="0"/>
              <w:suppressLineNumbers w:val="0"/>
              <w:spacing w:before="0" w:beforeAutospacing="0" w:after="0" w:afterAutospacing="0" w:line="580" w:lineRule="exact"/>
              <w:ind w:left="0" w:right="0"/>
              <w:jc w:val="center"/>
              <w:rPr>
                <w:rFonts w:hint="eastAsia"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5</w:t>
            </w:r>
          </w:p>
        </w:tc>
        <w:tc>
          <w:tcPr>
            <w:tcW w:w="5054" w:type="dxa"/>
            <w:vMerge w:val="continue"/>
            <w:vAlign w:val="top"/>
          </w:tcPr>
          <w:p w14:paraId="533C8B84">
            <w:pPr>
              <w:keepNext w:val="0"/>
              <w:keepLines w:val="0"/>
              <w:suppressLineNumbers w:val="0"/>
              <w:spacing w:before="0" w:beforeAutospacing="0" w:after="0" w:afterAutospacing="0" w:line="580" w:lineRule="exact"/>
              <w:ind w:left="0" w:right="0" w:firstLine="560" w:firstLineChars="200"/>
              <w:jc w:val="center"/>
              <w:rPr>
                <w:rFonts w:hint="default" w:ascii="Times New Roman" w:hAnsi="Times New Roman" w:eastAsia="方正仿宋_GB2312" w:cs="方正仿宋_GB2312"/>
                <w:sz w:val="28"/>
                <w:szCs w:val="28"/>
                <w:highlight w:val="none"/>
              </w:rPr>
            </w:pPr>
          </w:p>
        </w:tc>
      </w:tr>
    </w:tbl>
    <w:p w14:paraId="674A1495">
      <w:pPr>
        <w:keepNext w:val="0"/>
        <w:keepLines w:val="0"/>
        <w:pageBreakBefore w:val="0"/>
        <w:widowControl w:val="0"/>
        <w:kinsoku/>
        <w:wordWrap/>
        <w:overflowPunct/>
        <w:topLinePunct w:val="0"/>
        <w:autoSpaceDE/>
        <w:autoSpaceDN/>
        <w:bidi w:val="0"/>
        <w:spacing w:line="580" w:lineRule="exact"/>
        <w:ind w:firstLine="640" w:firstLineChars="200"/>
        <w:jc w:val="both"/>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总成绩=复赛成绩</w:t>
      </w: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仿宋_GB2312" w:cs="Times New Roman"/>
          <w:b w:val="0"/>
          <w:bCs w:val="0"/>
          <w:sz w:val="32"/>
          <w:szCs w:val="32"/>
          <w:highlight w:val="none"/>
          <w:lang w:val="en-US" w:eastAsia="zh-CN"/>
        </w:rPr>
        <w:t>0%</w:t>
      </w:r>
      <w:r>
        <w:rPr>
          <w:rFonts w:hint="eastAsia" w:ascii="Times New Roman" w:hAnsi="Times New Roman" w:eastAsia="仿宋_GB2312" w:cs="仿宋_GB2312"/>
          <w:b w:val="0"/>
          <w:bCs w:val="0"/>
          <w:sz w:val="32"/>
          <w:szCs w:val="32"/>
          <w:highlight w:val="none"/>
          <w:lang w:val="en-US" w:eastAsia="zh-CN"/>
        </w:rPr>
        <w:t>+决赛成绩</w:t>
      </w: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lang w:val="en-US" w:eastAsia="zh-CN"/>
        </w:rPr>
        <w:t>0%</w:t>
      </w:r>
    </w:p>
    <w:p w14:paraId="2857CC46">
      <w:pPr>
        <w:keepNext w:val="0"/>
        <w:keepLines w:val="0"/>
        <w:pageBreakBefore w:val="0"/>
        <w:numPr>
          <w:ilvl w:val="0"/>
          <w:numId w:val="3"/>
        </w:numPr>
        <w:tabs>
          <w:tab w:val="left" w:pos="1253"/>
          <w:tab w:val="center" w:pos="4153"/>
        </w:tabs>
        <w:kinsoku/>
        <w:wordWrap/>
        <w:overflowPunct/>
        <w:topLinePunct w:val="0"/>
        <w:autoSpaceDE/>
        <w:autoSpaceDN/>
        <w:bidi w:val="0"/>
        <w:spacing w:line="580" w:lineRule="exact"/>
        <w:ind w:left="0" w:leftChars="0" w:firstLine="643" w:firstLineChars="200"/>
        <w:rPr>
          <w:rFonts w:hint="default" w:ascii="Times New Roman" w:hAnsi="Times New Roman" w:eastAsia="方正仿宋_GB2312" w:cs="Times New Roman"/>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开化专项赛</w:t>
      </w:r>
    </w:p>
    <w:p w14:paraId="30585E73">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仿宋_GB2312"/>
          <w:b/>
          <w:bCs/>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开化文旅展示设计赛</w:t>
      </w:r>
    </w:p>
    <w:p w14:paraId="26128743">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文化呈现准确性与深度</w:t>
      </w:r>
      <w:r>
        <w:rPr>
          <w:rFonts w:hint="eastAsia" w:ascii="Times New Roman" w:hAnsi="Times New Roman" w:eastAsia="仿宋_GB2312" w:cs="仿宋_GB2312"/>
          <w:b w:val="0"/>
          <w:bCs/>
          <w:sz w:val="32"/>
          <w:szCs w:val="32"/>
          <w:highlight w:val="none"/>
          <w:lang w:val="en-US" w:eastAsia="zh-CN"/>
        </w:rPr>
        <w:t>（</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：能够</w:t>
      </w:r>
      <w:r>
        <w:rPr>
          <w:rFonts w:hint="eastAsia" w:ascii="Times New Roman" w:hAnsi="Times New Roman" w:eastAsia="仿宋_GB2312" w:cs="仿宋_GB2312"/>
          <w:b w:val="0"/>
          <w:bCs w:val="0"/>
          <w:sz w:val="32"/>
          <w:szCs w:val="32"/>
          <w:highlight w:val="none"/>
          <w:lang w:val="en-US" w:eastAsia="zh-CN"/>
        </w:rPr>
        <w:t>将中华美学融入产品设计，作品审美质量和艺术表现力佳。</w:t>
      </w:r>
    </w:p>
    <w:p w14:paraId="68B810F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主题演绎及艺术表现</w:t>
      </w:r>
      <w:r>
        <w:rPr>
          <w:rFonts w:hint="eastAsia" w:ascii="Times New Roman" w:hAnsi="Times New Roman" w:eastAsia="仿宋_GB2312" w:cs="仿宋_GB2312"/>
          <w:b w:val="0"/>
          <w:bCs/>
          <w:sz w:val="32"/>
          <w:szCs w:val="32"/>
          <w:highlight w:val="none"/>
          <w:lang w:val="en-US" w:eastAsia="zh-CN"/>
        </w:rPr>
        <w:t>（</w:t>
      </w:r>
      <w:r>
        <w:rPr>
          <w:rFonts w:hint="eastAsia" w:ascii="Times New Roman" w:hAnsi="Times New Roman" w:eastAsia="方正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：能够</w:t>
      </w:r>
      <w:r>
        <w:rPr>
          <w:rFonts w:hint="eastAsia" w:ascii="Times New Roman" w:hAnsi="Times New Roman" w:eastAsia="仿宋_GB2312" w:cs="仿宋_GB2312"/>
          <w:b w:val="0"/>
          <w:bCs w:val="0"/>
          <w:sz w:val="32"/>
          <w:szCs w:val="32"/>
          <w:highlight w:val="none"/>
          <w:lang w:val="en-US" w:eastAsia="zh-CN"/>
        </w:rPr>
        <w:t>创意演绎呈现，作品舒适、美观、协调，能够满足目标群体的审美习惯。</w:t>
      </w:r>
    </w:p>
    <w:p w14:paraId="72D99220">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创意创新（</w:t>
      </w:r>
      <w:r>
        <w:rPr>
          <w:rFonts w:hint="default" w:ascii="Times New Roman" w:hAnsi="Times New Roman" w:eastAsia="仿宋_GB2312" w:cs="Times New Roman"/>
          <w:sz w:val="32"/>
          <w:szCs w:val="32"/>
          <w:highlight w:val="none"/>
          <w:lang w:val="en-US" w:eastAsia="zh-CN"/>
        </w:rPr>
        <w:t>20</w:t>
      </w:r>
      <w:r>
        <w:rPr>
          <w:rFonts w:hint="eastAsia" w:ascii="Times New Roman" w:hAnsi="Times New Roman" w:eastAsia="仿宋_GB2312" w:cs="仿宋_GB2312"/>
          <w:b w:val="0"/>
          <w:bCs w:val="0"/>
          <w:sz w:val="32"/>
          <w:szCs w:val="32"/>
          <w:highlight w:val="none"/>
          <w:lang w:val="en-US" w:eastAsia="zh-CN"/>
        </w:rPr>
        <w:t>分</w:t>
      </w:r>
      <w:r>
        <w:rPr>
          <w:rFonts w:hint="eastAsia" w:ascii="Times New Roman" w:hAnsi="Times New Roman" w:eastAsia="仿宋_GB2312" w:cs="仿宋_GB2312"/>
          <w:sz w:val="32"/>
          <w:szCs w:val="32"/>
          <w:highlight w:val="none"/>
          <w:lang w:val="en-US" w:eastAsia="zh-CN"/>
        </w:rPr>
        <w:t>）：设计新颖，使用价值高，符合目标群体消费习惯，能够引领国际国内消费新时尚。</w:t>
      </w:r>
    </w:p>
    <w:p w14:paraId="34877DC7">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sz w:val="32"/>
          <w:szCs w:val="32"/>
          <w:highlight w:val="none"/>
          <w:lang w:val="en-US" w:eastAsia="zh-CN"/>
        </w:rPr>
      </w:pP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技术运用（</w:t>
      </w:r>
      <w:r>
        <w:rPr>
          <w:rFonts w:hint="default" w:ascii="Times New Roman" w:hAnsi="Times New Roman" w:eastAsia="仿宋_GB2312" w:cs="Times New Roman"/>
          <w:sz w:val="32"/>
          <w:szCs w:val="32"/>
          <w:highlight w:val="none"/>
          <w:lang w:val="en-US" w:eastAsia="zh-CN"/>
        </w:rPr>
        <w:t>25</w:t>
      </w:r>
      <w:r>
        <w:rPr>
          <w:rFonts w:hint="eastAsia" w:ascii="Times New Roman" w:hAnsi="Times New Roman" w:eastAsia="仿宋_GB2312" w:cs="仿宋_GB2312"/>
          <w:sz w:val="32"/>
          <w:szCs w:val="32"/>
          <w:highlight w:val="none"/>
          <w:lang w:val="en-US" w:eastAsia="zh-CN"/>
        </w:rPr>
        <w:t>分）：</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技术应用有深度和广度，</w:t>
      </w:r>
      <w:r>
        <w:rPr>
          <w:rFonts w:hint="default" w:ascii="Times New Roman" w:hAnsi="Times New Roman" w:eastAsia="仿宋_GB2312" w:cs="Times New Roman"/>
          <w:sz w:val="32"/>
          <w:szCs w:val="32"/>
          <w:highlight w:val="none"/>
          <w:lang w:val="en-US" w:eastAsia="zh-CN"/>
        </w:rPr>
        <w:t>AIGC</w:t>
      </w:r>
      <w:r>
        <w:rPr>
          <w:rFonts w:hint="eastAsia" w:ascii="Times New Roman" w:hAnsi="Times New Roman" w:eastAsia="仿宋_GB2312" w:cs="仿宋_GB2312"/>
          <w:sz w:val="32"/>
          <w:szCs w:val="32"/>
          <w:highlight w:val="none"/>
          <w:lang w:val="en-US" w:eastAsia="zh-CN"/>
        </w:rPr>
        <w:t>技术对传统设计进行改进或创新，技术选择的恰当性。</w:t>
      </w:r>
    </w:p>
    <w:p w14:paraId="0C5BCAD4">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kern w:val="2"/>
          <w:sz w:val="32"/>
          <w:szCs w:val="32"/>
          <w:highlight w:val="none"/>
          <w:lang w:val="en-US" w:eastAsia="zh-CN" w:bidi="ar-SA"/>
        </w:rPr>
        <w:t>环境友好性与可持续性（</w:t>
      </w:r>
      <w:r>
        <w:rPr>
          <w:rFonts w:hint="default" w:ascii="Times New Roman" w:hAnsi="Times New Roman" w:eastAsia="仿宋_GB2312" w:cs="Times New Roman"/>
          <w:b w:val="0"/>
          <w:bCs w:val="0"/>
          <w:kern w:val="2"/>
          <w:sz w:val="32"/>
          <w:szCs w:val="32"/>
          <w:highlight w:val="none"/>
          <w:lang w:val="en-US" w:eastAsia="zh-CN" w:bidi="ar-SA"/>
        </w:rPr>
        <w:t>15</w:t>
      </w:r>
      <w:r>
        <w:rPr>
          <w:rFonts w:hint="eastAsia" w:ascii="Times New Roman" w:hAnsi="Times New Roman" w:eastAsia="仿宋_GB2312" w:cs="仿宋_GB2312"/>
          <w:b w:val="0"/>
          <w:bCs w:val="0"/>
          <w:kern w:val="2"/>
          <w:sz w:val="32"/>
          <w:szCs w:val="32"/>
          <w:highlight w:val="none"/>
          <w:lang w:val="en-US" w:eastAsia="zh-CN" w:bidi="ar-SA"/>
        </w:rPr>
        <w:t>分）：</w:t>
      </w:r>
      <w:r>
        <w:rPr>
          <w:rFonts w:hint="eastAsia" w:ascii="Times New Roman" w:hAnsi="Times New Roman" w:eastAsia="仿宋_GB2312" w:cs="仿宋_GB2312"/>
          <w:b w:val="0"/>
          <w:bCs w:val="0"/>
          <w:sz w:val="32"/>
          <w:szCs w:val="32"/>
          <w:highlight w:val="none"/>
          <w:lang w:val="en-US" w:eastAsia="zh-CN"/>
        </w:rPr>
        <w:t>能够将绿色、低碳、环保等理念融入设计。</w:t>
      </w:r>
    </w:p>
    <w:p w14:paraId="52DFF49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方正仿宋_GB2312" w:cs="Times New Roman"/>
          <w:b/>
          <w:bCs/>
          <w:sz w:val="32"/>
          <w:szCs w:val="32"/>
          <w:highlight w:val="none"/>
          <w:lang w:val="en-US" w:eastAsia="zh-CN"/>
        </w:rPr>
        <w:t>4. “上官球拍”品牌推广会展策划方案</w:t>
      </w:r>
    </w:p>
    <w:p w14:paraId="2F5B7319">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参照新时代的中国会展策划评分标准，设计案参照开化专项赛评分标准。</w:t>
      </w:r>
    </w:p>
    <w:p w14:paraId="38F9BFA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Times New Roman" w:hAnsi="Times New Roman" w:eastAsia="楷体_GB2312" w:cs="楷体_GB2312"/>
          <w:b/>
          <w:bCs/>
          <w:color w:val="auto"/>
          <w:sz w:val="32"/>
          <w:szCs w:val="32"/>
          <w:highlight w:val="none"/>
          <w:lang w:val="en-US" w:eastAsia="zh-CN"/>
        </w:rPr>
      </w:pPr>
      <w:r>
        <w:rPr>
          <w:rFonts w:hint="eastAsia" w:ascii="Times New Roman" w:hAnsi="Times New Roman" w:eastAsia="楷体_GB2312" w:cs="楷体_GB2312"/>
          <w:b/>
          <w:bCs/>
          <w:color w:val="auto"/>
          <w:sz w:val="32"/>
          <w:szCs w:val="32"/>
          <w:highlight w:val="none"/>
          <w:lang w:val="en-US" w:eastAsia="zh-CN"/>
        </w:rPr>
        <w:t>省赛决赛所有赛道评审标准（特殊要求除外）</w:t>
      </w:r>
    </w:p>
    <w:tbl>
      <w:tblPr>
        <w:tblStyle w:val="2"/>
        <w:tblW w:w="9674"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7200"/>
        <w:gridCol w:w="940"/>
      </w:tblGrid>
      <w:tr w14:paraId="5240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4" w:type="dxa"/>
          </w:tcPr>
          <w:p w14:paraId="65C482E9">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评审指标</w:t>
            </w:r>
          </w:p>
        </w:tc>
        <w:tc>
          <w:tcPr>
            <w:tcW w:w="7200" w:type="dxa"/>
          </w:tcPr>
          <w:p w14:paraId="6A6D190E">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要求说明</w:t>
            </w:r>
          </w:p>
        </w:tc>
        <w:tc>
          <w:tcPr>
            <w:tcW w:w="940" w:type="dxa"/>
          </w:tcPr>
          <w:p w14:paraId="3789B461">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分值</w:t>
            </w:r>
          </w:p>
        </w:tc>
      </w:tr>
      <w:tr w14:paraId="011D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4696B078">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展示内容</w:t>
            </w:r>
          </w:p>
        </w:tc>
        <w:tc>
          <w:tcPr>
            <w:tcW w:w="7200" w:type="dxa"/>
            <w:vAlign w:val="center"/>
          </w:tcPr>
          <w:p w14:paraId="590EE655">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Hans"/>
              </w:rPr>
              <w:t>主题鲜明，</w:t>
            </w:r>
            <w:r>
              <w:rPr>
                <w:rFonts w:hint="eastAsia" w:ascii="Times New Roman" w:hAnsi="Times New Roman" w:eastAsia="仿宋_GB2312" w:cs="仿宋_GB2312"/>
                <w:b w:val="0"/>
                <w:bCs w:val="0"/>
                <w:sz w:val="32"/>
                <w:szCs w:val="32"/>
                <w:highlight w:val="none"/>
                <w:lang w:val="en-US" w:eastAsia="zh-CN"/>
              </w:rPr>
              <w:t>展示结构清晰，内容完整，</w:t>
            </w:r>
            <w:r>
              <w:rPr>
                <w:rFonts w:hint="eastAsia" w:ascii="Times New Roman" w:hAnsi="Times New Roman" w:eastAsia="仿宋_GB2312" w:cs="仿宋_GB2312"/>
                <w:b w:val="0"/>
                <w:bCs w:val="0"/>
                <w:sz w:val="32"/>
                <w:szCs w:val="32"/>
                <w:highlight w:val="none"/>
                <w:lang w:val="en-US" w:eastAsia="zh-Hans"/>
              </w:rPr>
              <w:t>与主题吻合</w:t>
            </w:r>
          </w:p>
        </w:tc>
        <w:tc>
          <w:tcPr>
            <w:tcW w:w="940" w:type="dxa"/>
            <w:vAlign w:val="center"/>
          </w:tcPr>
          <w:p w14:paraId="3CBD7F40">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30</w:t>
            </w:r>
          </w:p>
        </w:tc>
      </w:tr>
      <w:tr w14:paraId="3D60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111160C2">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展示礼仪</w:t>
            </w:r>
          </w:p>
        </w:tc>
        <w:tc>
          <w:tcPr>
            <w:tcW w:w="7200" w:type="dxa"/>
            <w:vAlign w:val="center"/>
          </w:tcPr>
          <w:p w14:paraId="483B9FAA">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出镜展示，</w:t>
            </w:r>
            <w:r>
              <w:rPr>
                <w:rFonts w:hint="eastAsia" w:ascii="Times New Roman" w:hAnsi="Times New Roman" w:eastAsia="仿宋_GB2312" w:cs="仿宋_GB2312"/>
                <w:b w:val="0"/>
                <w:bCs w:val="0"/>
                <w:sz w:val="32"/>
                <w:szCs w:val="32"/>
                <w:highlight w:val="none"/>
                <w:lang w:val="en-US" w:eastAsia="zh-Hans"/>
              </w:rPr>
              <w:t>展示过程注重礼节，注重</w:t>
            </w:r>
            <w:r>
              <w:rPr>
                <w:rFonts w:hint="eastAsia" w:ascii="Times New Roman" w:hAnsi="Times New Roman" w:eastAsia="仿宋_GB2312" w:cs="仿宋_GB2312"/>
                <w:b w:val="0"/>
                <w:bCs w:val="0"/>
                <w:sz w:val="32"/>
                <w:szCs w:val="32"/>
                <w:highlight w:val="none"/>
                <w:lang w:val="en-US" w:eastAsia="zh-CN"/>
              </w:rPr>
              <w:t>仪态仪表</w:t>
            </w:r>
          </w:p>
        </w:tc>
        <w:tc>
          <w:tcPr>
            <w:tcW w:w="940" w:type="dxa"/>
            <w:vAlign w:val="center"/>
          </w:tcPr>
          <w:p w14:paraId="74F4088A">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15</w:t>
            </w:r>
          </w:p>
        </w:tc>
      </w:tr>
      <w:tr w14:paraId="57D0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75B91077">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 xml:space="preserve">团队合作 </w:t>
            </w:r>
          </w:p>
        </w:tc>
        <w:tc>
          <w:tcPr>
            <w:tcW w:w="7200" w:type="dxa"/>
            <w:vAlign w:val="center"/>
          </w:tcPr>
          <w:p w14:paraId="20E8C812">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多种形式或细节展示团队合作</w:t>
            </w:r>
          </w:p>
        </w:tc>
        <w:tc>
          <w:tcPr>
            <w:tcW w:w="940" w:type="dxa"/>
            <w:vAlign w:val="center"/>
          </w:tcPr>
          <w:p w14:paraId="71E504C0">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15</w:t>
            </w:r>
          </w:p>
        </w:tc>
      </w:tr>
      <w:tr w14:paraId="1AED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14:paraId="66B3C9E1">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展示创新</w:t>
            </w:r>
          </w:p>
        </w:tc>
        <w:tc>
          <w:tcPr>
            <w:tcW w:w="7200" w:type="dxa"/>
            <w:vAlign w:val="center"/>
          </w:tcPr>
          <w:p w14:paraId="4FFC8144">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展示有创意，能够融入现代科技、数字等元素</w:t>
            </w:r>
          </w:p>
        </w:tc>
        <w:tc>
          <w:tcPr>
            <w:tcW w:w="940" w:type="dxa"/>
            <w:vAlign w:val="center"/>
          </w:tcPr>
          <w:p w14:paraId="4B56F521">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w:t>
            </w:r>
          </w:p>
        </w:tc>
      </w:tr>
      <w:tr w14:paraId="3B42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534" w:type="dxa"/>
            <w:vAlign w:val="center"/>
          </w:tcPr>
          <w:p w14:paraId="12621771">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语言表达</w:t>
            </w:r>
          </w:p>
        </w:tc>
        <w:tc>
          <w:tcPr>
            <w:tcW w:w="7200" w:type="dxa"/>
            <w:vAlign w:val="center"/>
          </w:tcPr>
          <w:p w14:paraId="23BB4FD6">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语言表达清晰准确、完整，契合主题，突出重点</w:t>
            </w:r>
          </w:p>
        </w:tc>
        <w:tc>
          <w:tcPr>
            <w:tcW w:w="940" w:type="dxa"/>
            <w:vAlign w:val="center"/>
          </w:tcPr>
          <w:p w14:paraId="7CA5A5E7">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20</w:t>
            </w:r>
          </w:p>
        </w:tc>
      </w:tr>
    </w:tbl>
    <w:p w14:paraId="29FB40FF">
      <w:pPr>
        <w:keepNext w:val="0"/>
        <w:keepLines w:val="0"/>
        <w:pageBreakBefore w:val="0"/>
        <w:widowControl w:val="0"/>
        <w:tabs>
          <w:tab w:val="left" w:pos="1253"/>
        </w:tabs>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b/>
          <w:bCs/>
          <w:sz w:val="32"/>
          <w:szCs w:val="32"/>
          <w:highlight w:val="none"/>
        </w:rPr>
      </w:pPr>
    </w:p>
    <w:p w14:paraId="10249F41">
      <w:pPr>
        <w:rPr>
          <w:rFonts w:hint="eastAsia" w:ascii="Times New Roman" w:hAnsi="Times New Roman" w:eastAsia="仿宋" w:cs="仿宋"/>
          <w:sz w:val="32"/>
          <w:szCs w:val="32"/>
          <w:highlight w:val="no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DD8C5F-053F-4532-B7E9-16FFCB45AB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101D4303-7930-4856-B8F9-0390CE56BF2F}"/>
  </w:font>
  <w:font w:name="方正小标宋_GBK">
    <w:panose1 w:val="02000000000000000000"/>
    <w:charset w:val="86"/>
    <w:family w:val="auto"/>
    <w:pitch w:val="default"/>
    <w:sig w:usb0="A00002BF" w:usb1="38CF7CFA" w:usb2="00082016" w:usb3="00000000" w:csb0="00040001" w:csb1="00000000"/>
    <w:embedRegular r:id="rId3" w:fontKey="{F554723F-3BEE-4A68-8068-AE724D8392BB}"/>
  </w:font>
  <w:font w:name="仿宋_GB2312">
    <w:panose1 w:val="02010609030101010101"/>
    <w:charset w:val="86"/>
    <w:family w:val="auto"/>
    <w:pitch w:val="default"/>
    <w:sig w:usb0="00000001" w:usb1="080E0000" w:usb2="00000000" w:usb3="00000000" w:csb0="00040000" w:csb1="00000000"/>
    <w:embedRegular r:id="rId4" w:fontKey="{1A6DCF6B-7DCB-48F6-BD6D-74679765E29A}"/>
  </w:font>
  <w:font w:name="楷体_GB2312">
    <w:panose1 w:val="02010609030101010101"/>
    <w:charset w:val="86"/>
    <w:family w:val="modern"/>
    <w:pitch w:val="default"/>
    <w:sig w:usb0="00000001" w:usb1="080E0000" w:usb2="00000000" w:usb3="00000000" w:csb0="00040000" w:csb1="00000000"/>
    <w:embedRegular r:id="rId5" w:fontKey="{971E01E0-8D17-42A9-8FCA-E94F743CA4AE}"/>
  </w:font>
  <w:font w:name="Times New Roman Regular">
    <w:altName w:val="Times New Roman"/>
    <w:panose1 w:val="02020503050405090304"/>
    <w:charset w:val="00"/>
    <w:family w:val="auto"/>
    <w:pitch w:val="default"/>
    <w:sig w:usb0="00000000" w:usb1="00000000" w:usb2="00000001" w:usb3="00000000" w:csb0="400001BF" w:csb1="DFF70000"/>
    <w:embedRegular r:id="rId6" w:fontKey="{2DCA56A2-3D13-4700-A545-F0C44CF7EFD7}"/>
  </w:font>
  <w:font w:name="仿宋">
    <w:panose1 w:val="02010609060101010101"/>
    <w:charset w:val="86"/>
    <w:family w:val="auto"/>
    <w:pitch w:val="default"/>
    <w:sig w:usb0="800002BF" w:usb1="38CF7CFA" w:usb2="00000016" w:usb3="00000000" w:csb0="00040001" w:csb1="00000000"/>
    <w:embedRegular r:id="rId7" w:fontKey="{F9411D68-46D0-4C5A-A6D5-3755100F02A2}"/>
  </w:font>
  <w:font w:name="方正小标宋简体">
    <w:panose1 w:val="02010600010101010101"/>
    <w:charset w:val="86"/>
    <w:family w:val="auto"/>
    <w:pitch w:val="default"/>
    <w:sig w:usb0="00000001" w:usb1="080E0000" w:usb2="00000000" w:usb3="00000000" w:csb0="00040000" w:csb1="00000000"/>
  </w:font>
  <w:font w:name="WPSEMBED12">
    <w:panose1 w:val="02000000000000000000"/>
    <w:charset w:val="86"/>
    <w:family w:val="auto"/>
    <w:pitch w:val="default"/>
    <w:sig w:usb0="A00002BF" w:usb1="38CF7CFA" w:usb2="00082016" w:usb3="00000000" w:csb0="00040001" w:csb1="00000000"/>
  </w:font>
  <w:font w:name="WPSEMBED13">
    <w:panose1 w:val="02010609030101010101"/>
    <w:charset w:val="86"/>
    <w:family w:val="auto"/>
    <w:pitch w:val="default"/>
    <w:sig w:usb0="00000001" w:usb1="080E0000" w:usb2="00000000" w:usb3="00000000" w:csb0="00040000" w:csb1="00000000"/>
  </w:font>
  <w:font w:name="WPSEMBED14">
    <w:panose1 w:val="02010609030101010101"/>
    <w:charset w:val="86"/>
    <w:family w:val="auto"/>
    <w:pitch w:val="default"/>
    <w:sig w:usb0="00000001" w:usb1="080E0000" w:usb2="00000000" w:usb3="00000000" w:csb0="00040000" w:csb1="00000000"/>
  </w:font>
  <w:font w:name="WPSEMBED11">
    <w:panose1 w:val="02000000000000000000"/>
    <w:charset w:val="86"/>
    <w:family w:val="auto"/>
    <w:pitch w:val="default"/>
    <w:sig w:usb0="A00002BF" w:usb1="184F6CFA" w:usb2="00000012" w:usb3="00000000" w:csb0="00040001" w:csb1="00000000"/>
  </w:font>
  <w:font w:name="WPSEMBED15">
    <w:panose1 w:val="0201060001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FD21F"/>
    <w:multiLevelType w:val="singleLevel"/>
    <w:tmpl w:val="B67FD21F"/>
    <w:lvl w:ilvl="0" w:tentative="0">
      <w:start w:val="3"/>
      <w:numFmt w:val="decimal"/>
      <w:suff w:val="space"/>
      <w:lvlText w:val="%1."/>
      <w:lvlJc w:val="left"/>
    </w:lvl>
  </w:abstractNum>
  <w:abstractNum w:abstractNumId="1">
    <w:nsid w:val="B6EE2594"/>
    <w:multiLevelType w:val="singleLevel"/>
    <w:tmpl w:val="B6EE2594"/>
    <w:lvl w:ilvl="0" w:tentative="0">
      <w:start w:val="2"/>
      <w:numFmt w:val="decimal"/>
      <w:suff w:val="space"/>
      <w:lvlText w:val="%1."/>
      <w:lvlJc w:val="left"/>
    </w:lvl>
  </w:abstractNum>
  <w:abstractNum w:abstractNumId="2">
    <w:nsid w:val="BFFD5AE9"/>
    <w:multiLevelType w:val="singleLevel"/>
    <w:tmpl w:val="BFFD5AE9"/>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65FE0"/>
    <w:rsid w:val="135060C2"/>
    <w:rsid w:val="1DAE3A43"/>
    <w:rsid w:val="3D065FE0"/>
    <w:rsid w:val="453C2005"/>
    <w:rsid w:val="7BFA4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6489f2aa-a569-490f-bd11-e27145eb7e64</errorID>
      <errorWord>办公室设在</errorWord>
      <group>L1_Grammar</group>
      <groupName>语法问题</groupName>
      <ability>L2_Grammar</ability>
      <abilityName>语法错误</abilityName>
      <candidateList>
        <item>设在</item>
      </candidateList>
      <explain/>
      <paraID>5C9CE428</paraID>
      <start>82</start>
      <end>87</end>
      <status>unmodified</status>
      <modifiedWord/>
      <trackRevisions>false</trackRevisions>
    </reviewItem>
    <reviewItem>
      <errorID>5c8bb635-6a5c-4ba3-b4b4-c92dda5df056</errorID>
      <errorWord>线</errorWord>
      <group>L1_Word</group>
      <groupName>字词问题</groupName>
      <ability>L2_Typo</ability>
      <abilityName>字词错误</abilityName>
      <candidateList>
        <item>以线</item>
      </candidateList>
      <explain/>
      <paraID>4D45CFBA</paraID>
      <start>40</start>
      <end>41</end>
      <status>unmodified</status>
      <modifiedWord/>
      <trackRevisions>false</trackRevisions>
    </reviewItem>
    <reviewItem>
      <errorID>0423e854-7de7-409a-8471-7dfc5f3a448e</errorID>
      <errorWord>。</errorWord>
      <group>L1_Grammar</group>
      <groupName>语法问题</groupName>
      <ability>L2_Grammar</ability>
      <abilityName>语法错误</abilityName>
      <candidateList>
        <item>进行。</item>
      </candidateList>
      <explain/>
      <paraID>4D45CFBA</paraID>
      <start>44</start>
      <end>45</end>
      <status>unmodified</status>
      <modifiedWord/>
      <trackRevisions>false</trackRevisions>
    </reviewItem>
    <reviewItem>
      <errorID>fdd75024-37d5-4f6a-8c25-bb24165739db</errorID>
      <errorWord>在</errorWord>
      <group>L1_Word</group>
      <groupName>字词问题</groupName>
      <ability>L2_Typo</ability>
      <abilityName>字词错误</abilityName>
      <candidateList>
        <item>若</item>
      </candidateList>
      <explain/>
      <paraID>7ED6B62E</paraID>
      <start>17</start>
      <end>18</end>
      <status>unmodified</status>
      <modifiedWord/>
      <trackRevisions>false</trackRevisions>
    </reviewItem>
    <reviewItem>
      <errorID>ceef2e6e-8132-4a30-b449-09dcfa4dd7d1</errorID>
      <errorWord>行为后</errorWord>
      <group>L1_Word</group>
      <groupName>字词问题</groupName>
      <ability>L2_Typo</ability>
      <abilityName>字词错误</abilityName>
      <candidateList>
        <item>行为</item>
      </candidateList>
      <explain/>
      <paraID>7ED6B62E</paraID>
      <start>31</start>
      <end>34</end>
      <status>unmodified</status>
      <modifiedWord/>
      <trackRevisions>false</trackRevisions>
    </reviewItem>
    <reviewItem>
      <errorID>3560d40e-4c14-4737-89e2-2acd9a76827c</errorID>
      <errorWord>，并由</errorWord>
      <group>L1_Grammar</group>
      <groupName>语法问题</groupName>
      <ability>L2_Grammar</ability>
      <abilityName>语法错误</abilityName>
      <candidateList>
        <item>，</item>
      </candidateList>
      <explain/>
      <paraID>7ED6B62E</paraID>
      <start>110</start>
      <end>113</end>
      <status>unmodified</status>
      <modifiedWord/>
      <trackRevisions>false</trackRevisions>
    </reviewItem>
    <reviewItem>
      <errorID>3f1163fb-f937-4651-8bc8-e66d923f1423</errorID>
      <errorWord>划</errorWord>
      <group>L1_Word</group>
      <groupName>字词问题</groupName>
      <ability>L2_Typo</ability>
      <abilityName>字词错误</abilityName>
      <candidateList>
        <item>划方</item>
      </candidateList>
      <explain/>
      <paraID>6539347E</paraID>
      <start>49</start>
      <end>50</end>
      <status>unmodified</status>
      <modifiedWord/>
      <trackRevisions>false</trackRevisions>
    </reviewItem>
    <reviewItem>
      <errorID>e2761336-8c41-4279-908e-34af047721b0</errorID>
      <errorWord>全球</errorWord>
      <group>L1_Word</group>
      <groupName>字词问题</groupName>
      <ability>L2_Typo</ability>
      <abilityName>字词错误</abilityName>
      <candidateList>
        <item>国际</item>
      </candidateList>
      <explain/>
      <paraID>7A451023</paraID>
      <start>135</start>
      <end>137</end>
      <status>unmodified</status>
      <modifiedWord/>
      <trackRevisions>false</trackRevisions>
    </reviewItem>
    <reviewItem>
      <errorID>5c714ad5-e5ee-471f-aced-85d732db3840</errorID>
      <errorWord>：</errorWord>
      <group>L1_Punc</group>
      <groupName>标点问题</groupName>
      <ability>L2_Punc_CN</ability>
      <abilityName>标点符号问题</abilityName>
      <candidateList>
        <item>。</item>
      </candidateList>
      <explain/>
      <paraID>52B2564E</paraID>
      <start>22</start>
      <end>23</end>
      <status>unmodified</status>
      <modifiedWord/>
      <trackRevisions>false</trackRevisions>
    </reviewItem>
    <reviewItem>
      <errorID>c7943eab-73ae-4e70-88dd-c6788f575494</errorID>
      <errorWord>：</errorWord>
      <group>L1_Punc</group>
      <groupName>标点问题</groupName>
      <ability>L2_Punc_CN</ability>
      <abilityName>标点符号问题</abilityName>
      <candidateList>
        <item>。</item>
      </candidateList>
      <explain/>
      <paraID> 1737E0B</paraID>
      <start>26</start>
      <end>27</end>
      <status>unmodified</status>
      <modifiedWord/>
      <trackRevisions>false</trackRevisions>
    </reviewItem>
    <reviewItem>
      <errorID>7297efb6-d095-4c7b-b74a-f0c5475825ff</errorID>
      <errorWord>及</errorWord>
      <group>L1_Grammar</group>
      <groupName>语法问题</groupName>
      <ability>L2_Grammar</ability>
      <abilityName>语法错误</abilityName>
      <candidateList>
        <item>，具备</item>
      </candidateList>
      <explain/>
      <paraID>10A0FD63</paraID>
      <start>16</start>
      <end>17</end>
      <status>unmodified</status>
      <modifiedWord/>
      <trackRevisions>false</trackRevisions>
    </reviewItem>
    <reviewItem>
      <errorID>0ce8977c-d668-40b1-8dc8-405f996c0f94</errorID>
      <errorWord>、</errorWord>
      <group>L1_Word</group>
      <groupName>字词问题</groupName>
      <ability>L2_Typo</ability>
      <abilityName>字词错误</abilityName>
      <candidateList>
        <item>和</item>
      </candidateList>
      <explain/>
      <paraID>10A0FD63</paraID>
      <start>20</start>
      <end>21</end>
      <status>unmodified</status>
      <modifiedWord/>
      <trackRevisions>false</trackRevisions>
    </reviewItem>
    <reviewItem>
      <errorID>c674cca9-1280-436f-b0b9-09bc3c684e85</errorID>
      <errorWord>具</errorWord>
      <group>L1_Word</group>
      <groupName>字词问题</groupName>
      <ability>L2_Typo</ability>
      <abilityName>字词错误</abilityName>
      <candidateList>
        <item>具有</item>
      </candidateList>
      <explain>〈动〉有（多用于抽象事物）：～信心｜～伟大的意义。</explain>
      <paraID> 8085578</paraID>
      <start>11</start>
      <end>12</end>
      <status>unmodified</status>
      <modifiedWord/>
      <trackRevisions>false</trackRevisions>
    </reviewItem>
    <reviewItem>
      <errorID>080671cc-a9ec-49c5-8478-e657b9d4d354</errorID>
      <errorWord>现场</errorWord>
      <group>L1_Grammar</group>
      <groupName>语法问题</groupName>
      <ability>L2_Grammar</ability>
      <abilityName>语法错误</abilityName>
      <candidateList>
        <item>进行现场</item>
      </candidateList>
      <explain/>
      <paraID>127B4A57</paraID>
      <start>6</start>
      <end>8</end>
      <status>unmodified</status>
      <modifiedWord/>
      <trackRevisions>false</trackRevisions>
    </reviewItem>
    <reviewItem>
      <errorID>f48aee35-93e2-45d7-9e52-78b053289037</errorID>
      <errorWord>参赛获奖</errorWord>
      <group>L1_Word</group>
      <groupName>字词问题</groupName>
      <ability>L2_Typo</ability>
      <abilityName>字词错误</abilityName>
      <candidateList>
        <item>获奖的</item>
      </candidateList>
      <explain/>
      <paraID>42082178</paraID>
      <start>52</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7975b407-a36f-4eda-82ff-190e1af4cb15}">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5817</Words>
  <Characters>6030</Characters>
  <Lines>0</Lines>
  <Paragraphs>0</Paragraphs>
  <TotalTime>1</TotalTime>
  <ScaleCrop>false</ScaleCrop>
  <LinksUpToDate>false</LinksUpToDate>
  <CharactersWithSpaces>6053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2026-07-12T07:37:00Z</dcterms:created>
  <dc:creator>鲁宏浩</dc:creator>
  <cp:lastModifiedBy>阿炳</cp:lastModifiedBy>
  <dcterms:modified xsi:type="dcterms:W3CDTF">2026-08-01T14:14:13Z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79A6E364AD1945299364E19260D101E2_11</vt:lpwstr>
  </property>
  <property fmtid="{D5CDD505-2E9C-101B-9397-08002B2CF9AE}" pid="4" name="KSOTemplateDocerSaveRecord">
    <vt:lpwstr>eyJoZGlkIjoiZWE0MTdkM2YyMmM2ZjJmMzkwYTY3YzEzZjI0MzZiMTgiLCJ1c2VySWQiOiI1NDQ4Mzk5NDMifQ==</vt:lpwstr>
  </property>
</Properties>
</file>