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D6402">
      <w:pPr>
        <w:autoSpaceDE w:val="0"/>
        <w:spacing w:line="560" w:lineRule="exact"/>
        <w:rPr>
          <w:rFonts w:ascii="黑体" w:hAnsi="黑体" w:eastAsia="黑体" w:cs="宋体"/>
          <w:kern w:val="0"/>
          <w:sz w:val="32"/>
          <w:szCs w:val="32"/>
        </w:rPr>
      </w:pPr>
      <w:bookmarkStart w:id="0" w:name="_Toc200983883"/>
      <w:bookmarkStart w:id="1" w:name="OLE_LINK1"/>
      <w:bookmarkStart w:id="2" w:name="OLE_LINK2"/>
    </w:p>
    <w:p w14:paraId="4448769A">
      <w:pPr>
        <w:autoSpaceDE w:val="0"/>
        <w:spacing w:line="560" w:lineRule="exac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5</w:t>
      </w:r>
    </w:p>
    <w:p w14:paraId="4CD84DF3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竞赛评分标准</w:t>
      </w:r>
      <w:bookmarkEnd w:id="0"/>
    </w:p>
    <w:p w14:paraId="361BD654">
      <w:pPr>
        <w:rPr>
          <w:rFonts w:ascii="仿宋" w:hAnsi="仿宋" w:eastAsia="仿宋"/>
          <w:sz w:val="24"/>
          <w:szCs w:val="24"/>
        </w:rPr>
      </w:pPr>
    </w:p>
    <w:p w14:paraId="1D26AF4F">
      <w:pPr>
        <w:autoSpaceDE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一、赛道</w:t>
      </w:r>
      <w:r>
        <w:rPr>
          <w:rFonts w:ascii="黑体" w:hAnsi="黑体" w:eastAsia="黑体" w:cs="宋体"/>
          <w:bCs/>
          <w:kern w:val="0"/>
          <w:sz w:val="32"/>
          <w:szCs w:val="32"/>
        </w:rPr>
        <w:t>1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-经营创新实践赛</w:t>
      </w:r>
    </w:p>
    <w:p w14:paraId="2B3968F0">
      <w:pPr>
        <w:autoSpaceDE w:val="0"/>
        <w:spacing w:line="560" w:lineRule="exact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总成绩=企业经营创新实践报告成绩×60%+答辩成绩×40%</w:t>
      </w:r>
    </w:p>
    <w:p w14:paraId="147A9BAF">
      <w:pPr>
        <w:autoSpaceDE w:val="0"/>
        <w:spacing w:line="560" w:lineRule="exact"/>
        <w:ind w:firstLine="636" w:firstLineChars="200"/>
        <w:rPr>
          <w:rFonts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（一）企业经营实践报告成绩</w:t>
      </w:r>
    </w:p>
    <w:p w14:paraId="1B43E4D8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参赛团队提交的匿名处理的企业经营创新实践报告，由专家独立评分（评分标准见表1），取均值。</w:t>
      </w:r>
    </w:p>
    <w:p w14:paraId="7CBE1E1F">
      <w:pPr>
        <w:pStyle w:val="3"/>
      </w:pPr>
      <w:r>
        <w:t xml:space="preserve">表1 </w:t>
      </w:r>
      <w:r>
        <w:rPr>
          <w:rFonts w:hint="eastAsia"/>
        </w:rPr>
        <w:t>赛道1创新实践报告的评分标准</w:t>
      </w:r>
    </w:p>
    <w:tbl>
      <w:tblPr>
        <w:tblStyle w:val="8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5670"/>
        <w:gridCol w:w="709"/>
      </w:tblGrid>
      <w:tr w14:paraId="4A117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547" w:type="dxa"/>
            <w:vAlign w:val="center"/>
          </w:tcPr>
          <w:p w14:paraId="672F4265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评分项目</w:t>
            </w:r>
          </w:p>
        </w:tc>
        <w:tc>
          <w:tcPr>
            <w:tcW w:w="5670" w:type="dxa"/>
            <w:vAlign w:val="center"/>
          </w:tcPr>
          <w:p w14:paraId="7D1629A5">
            <w:pPr>
              <w:pStyle w:val="3"/>
              <w:rPr>
                <w:rFonts w:ascii="仿宋" w:hAnsi="仿宋" w:eastAsia="仿宋"/>
                <w:sz w:val="20"/>
              </w:rPr>
            </w:pPr>
            <w:r>
              <w:rPr>
                <w:rFonts w:hint="eastAsia"/>
                <w:sz w:val="20"/>
              </w:rPr>
              <w:t>内容</w:t>
            </w:r>
          </w:p>
        </w:tc>
        <w:tc>
          <w:tcPr>
            <w:tcW w:w="709" w:type="dxa"/>
            <w:vAlign w:val="center"/>
          </w:tcPr>
          <w:p w14:paraId="4333BB89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分值</w:t>
            </w:r>
          </w:p>
        </w:tc>
      </w:tr>
      <w:tr w14:paraId="3401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2547" w:type="dxa"/>
            <w:vAlign w:val="center"/>
          </w:tcPr>
          <w:p w14:paraId="02DA2A59">
            <w:pPr>
              <w:pStyle w:val="3"/>
              <w:rPr>
                <w:sz w:val="20"/>
              </w:rPr>
            </w:pPr>
            <w:r>
              <w:rPr>
                <w:sz w:val="20"/>
              </w:rPr>
              <w:t>问题诊断与分析</w:t>
            </w:r>
          </w:p>
        </w:tc>
        <w:tc>
          <w:tcPr>
            <w:tcW w:w="5670" w:type="dxa"/>
            <w:vAlign w:val="center"/>
          </w:tcPr>
          <w:p w14:paraId="305DF811">
            <w:pPr>
              <w:pStyle w:val="3"/>
              <w:rPr>
                <w:sz w:val="20"/>
              </w:rPr>
            </w:pPr>
            <w:r>
              <w:rPr>
                <w:sz w:val="20"/>
              </w:rPr>
              <w:t>精准定位企业痛点</w:t>
            </w:r>
            <w:r>
              <w:rPr>
                <w:rFonts w:hint="eastAsia"/>
                <w:sz w:val="20"/>
              </w:rPr>
              <w:t>、</w:t>
            </w:r>
            <w:r>
              <w:rPr>
                <w:sz w:val="20"/>
              </w:rPr>
              <w:t>问题描述清晰</w:t>
            </w:r>
            <w:r>
              <w:rPr>
                <w:rFonts w:hint="eastAsia"/>
                <w:sz w:val="20"/>
              </w:rPr>
              <w:t>、企业经营问题明确性、分析工具使用</w:t>
            </w:r>
          </w:p>
        </w:tc>
        <w:tc>
          <w:tcPr>
            <w:tcW w:w="709" w:type="dxa"/>
            <w:vAlign w:val="center"/>
          </w:tcPr>
          <w:p w14:paraId="3D6A418A">
            <w:pPr>
              <w:pStyle w:val="3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14:paraId="2099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547" w:type="dxa"/>
            <w:vAlign w:val="center"/>
          </w:tcPr>
          <w:p w14:paraId="115C0336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智能体创新方案的独特性</w:t>
            </w:r>
          </w:p>
        </w:tc>
        <w:tc>
          <w:tcPr>
            <w:tcW w:w="5670" w:type="dxa"/>
            <w:vAlign w:val="center"/>
          </w:tcPr>
          <w:p w14:paraId="75452238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实践洞察力、管理创新提案的前瞻性、系统性、协同性和整体性</w:t>
            </w:r>
          </w:p>
        </w:tc>
        <w:tc>
          <w:tcPr>
            <w:tcW w:w="709" w:type="dxa"/>
            <w:vAlign w:val="center"/>
          </w:tcPr>
          <w:p w14:paraId="0F56313E">
            <w:pPr>
              <w:pStyle w:val="3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14:paraId="69156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2547" w:type="dxa"/>
            <w:vAlign w:val="center"/>
          </w:tcPr>
          <w:p w14:paraId="50DB10B3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智能体技术深度与复杂度</w:t>
            </w:r>
          </w:p>
        </w:tc>
        <w:tc>
          <w:tcPr>
            <w:tcW w:w="5670" w:type="dxa"/>
            <w:vAlign w:val="center"/>
          </w:tcPr>
          <w:p w14:paraId="27D97CA5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智能体技术选型的适配性、技术方案与经营业务需求匹配度、实现难度与工作量</w:t>
            </w:r>
          </w:p>
        </w:tc>
        <w:tc>
          <w:tcPr>
            <w:tcW w:w="709" w:type="dxa"/>
            <w:vAlign w:val="center"/>
          </w:tcPr>
          <w:p w14:paraId="65C3CCC4">
            <w:pPr>
              <w:pStyle w:val="3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14:paraId="343C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2547" w:type="dxa"/>
            <w:vAlign w:val="center"/>
          </w:tcPr>
          <w:p w14:paraId="5BD68291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专业知识度</w:t>
            </w:r>
          </w:p>
        </w:tc>
        <w:tc>
          <w:tcPr>
            <w:tcW w:w="5670" w:type="dxa"/>
            <w:vAlign w:val="center"/>
          </w:tcPr>
          <w:p w14:paraId="4F90BD91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相关理论应用性、跨学科知识融合、数智化技能与应用、专业知识的深度</w:t>
            </w:r>
          </w:p>
        </w:tc>
        <w:tc>
          <w:tcPr>
            <w:tcW w:w="709" w:type="dxa"/>
            <w:vAlign w:val="center"/>
          </w:tcPr>
          <w:p w14:paraId="36156068">
            <w:pPr>
              <w:pStyle w:val="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14:paraId="7B1BE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547" w:type="dxa"/>
            <w:vAlign w:val="center"/>
          </w:tcPr>
          <w:p w14:paraId="646FE81C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方案实施与风险应对</w:t>
            </w:r>
          </w:p>
        </w:tc>
        <w:tc>
          <w:tcPr>
            <w:tcW w:w="5670" w:type="dxa"/>
            <w:vAlign w:val="center"/>
          </w:tcPr>
          <w:p w14:paraId="2E686E58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方案实施阶段划分、资源分配、动态管理、风险识别与应对策略</w:t>
            </w:r>
          </w:p>
        </w:tc>
        <w:tc>
          <w:tcPr>
            <w:tcW w:w="709" w:type="dxa"/>
            <w:vAlign w:val="center"/>
          </w:tcPr>
          <w:p w14:paraId="56C86D3F">
            <w:pPr>
              <w:pStyle w:val="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14:paraId="65C84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547" w:type="dxa"/>
            <w:vAlign w:val="center"/>
          </w:tcPr>
          <w:p w14:paraId="202DF345">
            <w:pPr>
              <w:pStyle w:val="3"/>
              <w:rPr>
                <w:sz w:val="20"/>
              </w:rPr>
            </w:pPr>
            <w:r>
              <w:rPr>
                <w:sz w:val="20"/>
              </w:rPr>
              <w:t>报告呈现质量</w:t>
            </w:r>
          </w:p>
        </w:tc>
        <w:tc>
          <w:tcPr>
            <w:tcW w:w="5670" w:type="dxa"/>
            <w:vAlign w:val="center"/>
          </w:tcPr>
          <w:p w14:paraId="75E5DB92">
            <w:pPr>
              <w:pStyle w:val="3"/>
              <w:rPr>
                <w:sz w:val="20"/>
              </w:rPr>
            </w:pPr>
            <w:r>
              <w:rPr>
                <w:sz w:val="20"/>
              </w:rPr>
              <w:t>结构严谨性</w:t>
            </w:r>
            <w:r>
              <w:rPr>
                <w:rFonts w:hint="eastAsia"/>
                <w:sz w:val="20"/>
              </w:rPr>
              <w:t>、逻辑清晰度、数据可视化程度、学术规范性</w:t>
            </w:r>
          </w:p>
        </w:tc>
        <w:tc>
          <w:tcPr>
            <w:tcW w:w="709" w:type="dxa"/>
            <w:vAlign w:val="center"/>
          </w:tcPr>
          <w:p w14:paraId="48A7DF83">
            <w:pPr>
              <w:pStyle w:val="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14:paraId="420D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17" w:type="dxa"/>
            <w:gridSpan w:val="2"/>
            <w:vAlign w:val="center"/>
          </w:tcPr>
          <w:p w14:paraId="5C06BB90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合计</w:t>
            </w:r>
          </w:p>
        </w:tc>
        <w:tc>
          <w:tcPr>
            <w:tcW w:w="709" w:type="dxa"/>
            <w:vAlign w:val="center"/>
          </w:tcPr>
          <w:p w14:paraId="108C0E98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00</w:t>
            </w:r>
          </w:p>
        </w:tc>
      </w:tr>
    </w:tbl>
    <w:p w14:paraId="320C1B3A">
      <w:pPr>
        <w:autoSpaceDE w:val="0"/>
        <w:spacing w:line="360" w:lineRule="auto"/>
        <w:ind w:firstLine="480" w:firstLineChars="200"/>
        <w:rPr>
          <w:rFonts w:ascii="仿宋" w:hAnsi="仿宋" w:eastAsia="仿宋" w:cs="宋体"/>
          <w:bCs/>
          <w:kern w:val="0"/>
          <w:sz w:val="24"/>
          <w:szCs w:val="24"/>
        </w:rPr>
      </w:pPr>
    </w:p>
    <w:p w14:paraId="167BF3D8">
      <w:pPr>
        <w:autoSpaceDE w:val="0"/>
        <w:spacing w:line="560" w:lineRule="exact"/>
        <w:ind w:firstLine="636" w:firstLineChars="200"/>
        <w:rPr>
          <w:rFonts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（二）答辩成绩</w:t>
      </w:r>
    </w:p>
    <w:p w14:paraId="5AD75960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创新报告前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25%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的队伍进入答辩环节。根据创新实践报告分数排序进行分组，以A、B两组为例，则按照ABBAABBA…进行答辩分组，组内答辩次序由抽签决定。答辩环节的评分标准见表2。</w:t>
      </w:r>
    </w:p>
    <w:p w14:paraId="54A59B85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参赛团队的答辩成绩为：去掉最高分和最低分，取其他分数的平均值为初始答辩成绩。</w:t>
      </w:r>
    </w:p>
    <w:p w14:paraId="4731D7E8">
      <w:pPr>
        <w:pStyle w:val="3"/>
      </w:pPr>
      <w:r>
        <w:t>表2</w:t>
      </w:r>
      <w:r>
        <w:rPr>
          <w:rFonts w:hint="eastAsia"/>
        </w:rPr>
        <w:t xml:space="preserve"> 赛道1答辩评分标准</w:t>
      </w:r>
    </w:p>
    <w:tbl>
      <w:tblPr>
        <w:tblStyle w:val="8"/>
        <w:tblW w:w="87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5244"/>
        <w:gridCol w:w="746"/>
      </w:tblGrid>
      <w:tr w14:paraId="1A062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817" w:type="dxa"/>
            <w:vAlign w:val="center"/>
          </w:tcPr>
          <w:p w14:paraId="34ADDB1A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阶段</w:t>
            </w:r>
          </w:p>
        </w:tc>
        <w:tc>
          <w:tcPr>
            <w:tcW w:w="1985" w:type="dxa"/>
            <w:vAlign w:val="center"/>
          </w:tcPr>
          <w:p w14:paraId="77463092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评分项目</w:t>
            </w:r>
          </w:p>
        </w:tc>
        <w:tc>
          <w:tcPr>
            <w:tcW w:w="5244" w:type="dxa"/>
            <w:vAlign w:val="center"/>
          </w:tcPr>
          <w:p w14:paraId="13E91A45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内容</w:t>
            </w:r>
          </w:p>
        </w:tc>
        <w:tc>
          <w:tcPr>
            <w:tcW w:w="746" w:type="dxa"/>
            <w:vAlign w:val="center"/>
          </w:tcPr>
          <w:p w14:paraId="7BB0B115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分值</w:t>
            </w:r>
          </w:p>
        </w:tc>
      </w:tr>
      <w:tr w14:paraId="0CD7E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17" w:type="dxa"/>
            <w:vMerge w:val="restart"/>
            <w:vAlign w:val="center"/>
          </w:tcPr>
          <w:p w14:paraId="0BA5559B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陈述环节</w:t>
            </w:r>
          </w:p>
        </w:tc>
        <w:tc>
          <w:tcPr>
            <w:tcW w:w="1985" w:type="dxa"/>
            <w:vAlign w:val="center"/>
          </w:tcPr>
          <w:p w14:paraId="05571687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智能体应用及效果</w:t>
            </w:r>
          </w:p>
        </w:tc>
        <w:tc>
          <w:tcPr>
            <w:tcW w:w="5244" w:type="dxa"/>
            <w:vAlign w:val="center"/>
          </w:tcPr>
          <w:p w14:paraId="562780D2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智能体构建逻辑清晰度、智能体数据训练集、智能体性能、智能体应用成效</w:t>
            </w:r>
          </w:p>
        </w:tc>
        <w:tc>
          <w:tcPr>
            <w:tcW w:w="746" w:type="dxa"/>
            <w:vAlign w:val="center"/>
          </w:tcPr>
          <w:p w14:paraId="118A4C02">
            <w:pPr>
              <w:pStyle w:val="3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0</w:t>
            </w:r>
          </w:p>
        </w:tc>
      </w:tr>
      <w:tr w14:paraId="290F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17" w:type="dxa"/>
            <w:vMerge w:val="continue"/>
            <w:vAlign w:val="center"/>
          </w:tcPr>
          <w:p w14:paraId="7B44FC0F">
            <w:pPr>
              <w:pStyle w:val="3"/>
              <w:rPr>
                <w:sz w:val="20"/>
              </w:rPr>
            </w:pPr>
          </w:p>
        </w:tc>
        <w:tc>
          <w:tcPr>
            <w:tcW w:w="1985" w:type="dxa"/>
            <w:vAlign w:val="center"/>
          </w:tcPr>
          <w:p w14:paraId="16FFAADA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内容完整性与逻辑清晰性</w:t>
            </w:r>
          </w:p>
        </w:tc>
        <w:tc>
          <w:tcPr>
            <w:tcW w:w="5244" w:type="dxa"/>
            <w:vAlign w:val="center"/>
          </w:tcPr>
          <w:p w14:paraId="63A6E92B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逻辑清晰地表达智能体项目的背景、目标、核心功能、技术方案、商业价值及应用效果</w:t>
            </w:r>
          </w:p>
        </w:tc>
        <w:tc>
          <w:tcPr>
            <w:tcW w:w="746" w:type="dxa"/>
            <w:vAlign w:val="center"/>
          </w:tcPr>
          <w:p w14:paraId="60FC9B7E">
            <w:pPr>
              <w:pStyle w:val="3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14:paraId="7248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17" w:type="dxa"/>
            <w:vMerge w:val="continue"/>
            <w:vAlign w:val="center"/>
          </w:tcPr>
          <w:p w14:paraId="44FC9BC8">
            <w:pPr>
              <w:pStyle w:val="3"/>
              <w:rPr>
                <w:sz w:val="20"/>
              </w:rPr>
            </w:pPr>
          </w:p>
        </w:tc>
        <w:tc>
          <w:tcPr>
            <w:tcW w:w="1985" w:type="dxa"/>
            <w:vAlign w:val="center"/>
          </w:tcPr>
          <w:p w14:paraId="1006C59C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智能体方案表达</w:t>
            </w:r>
          </w:p>
        </w:tc>
        <w:tc>
          <w:tcPr>
            <w:tcW w:w="5244" w:type="dxa"/>
            <w:vAlign w:val="center"/>
          </w:tcPr>
          <w:p w14:paraId="1B9C8AB3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智能体演示效果</w:t>
            </w:r>
          </w:p>
        </w:tc>
        <w:tc>
          <w:tcPr>
            <w:tcW w:w="746" w:type="dxa"/>
            <w:vAlign w:val="center"/>
          </w:tcPr>
          <w:p w14:paraId="0FD9BDF9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</w:tr>
      <w:tr w14:paraId="38F7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17" w:type="dxa"/>
            <w:vMerge w:val="restart"/>
            <w:vAlign w:val="center"/>
          </w:tcPr>
          <w:p w14:paraId="2DB771CD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问答环节</w:t>
            </w:r>
          </w:p>
        </w:tc>
        <w:tc>
          <w:tcPr>
            <w:tcW w:w="1985" w:type="dxa"/>
            <w:vAlign w:val="center"/>
          </w:tcPr>
          <w:p w14:paraId="3BAC2B81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临场反应</w:t>
            </w:r>
          </w:p>
        </w:tc>
        <w:tc>
          <w:tcPr>
            <w:tcW w:w="5244" w:type="dxa"/>
            <w:vAlign w:val="center"/>
          </w:tcPr>
          <w:p w14:paraId="296EEF56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准确理解提问意图、回答迅速、抓住要点、逻辑连贯、语言简洁</w:t>
            </w:r>
          </w:p>
        </w:tc>
        <w:tc>
          <w:tcPr>
            <w:tcW w:w="746" w:type="dxa"/>
            <w:vAlign w:val="center"/>
          </w:tcPr>
          <w:p w14:paraId="6D08D48C">
            <w:pPr>
              <w:pStyle w:val="3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14:paraId="0288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817" w:type="dxa"/>
            <w:vMerge w:val="continue"/>
            <w:vAlign w:val="center"/>
          </w:tcPr>
          <w:p w14:paraId="212DA563">
            <w:pPr>
              <w:pStyle w:val="3"/>
              <w:rPr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6DD1352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专业深度</w:t>
            </w:r>
          </w:p>
        </w:tc>
        <w:tc>
          <w:tcPr>
            <w:tcW w:w="5244" w:type="dxa"/>
            <w:vAlign w:val="center"/>
          </w:tcPr>
          <w:p w14:paraId="60CC27E0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专业知识面广、展现对知识的深刻理解并灵活应用专业知识</w:t>
            </w:r>
          </w:p>
        </w:tc>
        <w:tc>
          <w:tcPr>
            <w:tcW w:w="746" w:type="dxa"/>
            <w:vAlign w:val="center"/>
          </w:tcPr>
          <w:p w14:paraId="61DDDD8D">
            <w:pPr>
              <w:pStyle w:val="3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14:paraId="0AE04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817" w:type="dxa"/>
            <w:vMerge w:val="continue"/>
            <w:vAlign w:val="center"/>
          </w:tcPr>
          <w:p w14:paraId="0BAE0C27">
            <w:pPr>
              <w:pStyle w:val="3"/>
              <w:rPr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F8FFBB2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整体印象</w:t>
            </w:r>
          </w:p>
        </w:tc>
        <w:tc>
          <w:tcPr>
            <w:tcW w:w="5244" w:type="dxa"/>
            <w:vAlign w:val="center"/>
          </w:tcPr>
          <w:p w14:paraId="5B939541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答辩整体逻辑性、回答问题的清晰程度、问题回答创新性和正确性、团队成员协作补充</w:t>
            </w:r>
          </w:p>
        </w:tc>
        <w:tc>
          <w:tcPr>
            <w:tcW w:w="746" w:type="dxa"/>
            <w:vAlign w:val="center"/>
          </w:tcPr>
          <w:p w14:paraId="3D5A70B5">
            <w:pPr>
              <w:pStyle w:val="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14:paraId="5AF9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046" w:type="dxa"/>
            <w:gridSpan w:val="3"/>
            <w:vAlign w:val="center"/>
          </w:tcPr>
          <w:p w14:paraId="66838E41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合计</w:t>
            </w:r>
          </w:p>
        </w:tc>
        <w:tc>
          <w:tcPr>
            <w:tcW w:w="746" w:type="dxa"/>
            <w:vAlign w:val="center"/>
          </w:tcPr>
          <w:p w14:paraId="386666D5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100</w:t>
            </w:r>
          </w:p>
        </w:tc>
      </w:tr>
    </w:tbl>
    <w:p w14:paraId="798BADEA">
      <w:pPr>
        <w:autoSpaceDE w:val="0"/>
        <w:spacing w:line="360" w:lineRule="auto"/>
        <w:ind w:firstLine="480" w:firstLineChars="200"/>
        <w:rPr>
          <w:rFonts w:ascii="仿宋" w:hAnsi="仿宋" w:eastAsia="仿宋" w:cs="宋体"/>
          <w:bCs/>
          <w:kern w:val="0"/>
          <w:sz w:val="24"/>
          <w:szCs w:val="24"/>
        </w:rPr>
      </w:pPr>
    </w:p>
    <w:p w14:paraId="3A39F078">
      <w:pPr>
        <w:autoSpaceDE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二、赛道</w:t>
      </w:r>
      <w:r>
        <w:rPr>
          <w:rFonts w:ascii="黑体" w:hAnsi="黑体" w:eastAsia="黑体" w:cs="宋体"/>
          <w:bCs/>
          <w:kern w:val="0"/>
          <w:sz w:val="32"/>
          <w:szCs w:val="32"/>
        </w:rPr>
        <w:t>2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-数智决策对抗赛</w:t>
      </w:r>
    </w:p>
    <w:p w14:paraId="0842185B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总成绩=对抗赛成绩×60%+答辩成绩×40%</w:t>
      </w:r>
    </w:p>
    <w:p w14:paraId="67EC33FE">
      <w:pPr>
        <w:autoSpaceDE w:val="0"/>
        <w:spacing w:line="560" w:lineRule="exact"/>
        <w:ind w:firstLine="636" w:firstLineChars="200"/>
        <w:rPr>
          <w:rFonts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（一）对抗赛成绩（满分1</w:t>
      </w:r>
      <w:r>
        <w:rPr>
          <w:rFonts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00</w:t>
      </w:r>
      <w:r>
        <w:rPr>
          <w:rFonts w:hint="eastAsia"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）</w:t>
      </w:r>
    </w:p>
    <w:p w14:paraId="2ED021A5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对抗赛成绩=40+60/N*（N+1-k）</w:t>
      </w:r>
    </w:p>
    <w:p w14:paraId="257642F3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其中，N为最大赛区队伍数，k为第4年第4季度结束后各参赛队伍经营得分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Z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在赛区中的名次。</w:t>
      </w:r>
    </w:p>
    <w:p w14:paraId="307A0DAB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第4年第4季度各参赛队伍提交报表后系统关账（不进入第5年）。系统中各参赛队伍经营得分Z的计算公式：</w:t>
      </w:r>
    </w:p>
    <w:p w14:paraId="556B15E3">
      <w:pPr>
        <w:autoSpaceDE w:val="0"/>
        <w:spacing w:line="560" w:lineRule="exact"/>
        <w:ind w:firstLine="640" w:firstLineChars="200"/>
        <w:jc w:val="left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Z=【所有者权益-扣分（预算控制使用率扣分）】*商誉</w:t>
      </w:r>
    </w:p>
    <w:p w14:paraId="08338B39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【扣分】人力总监、生产总监、营销总监都须在每季度使用资金前进行资金预算。设某部门某季度的预算资金使用率为X，当X＜80%和X＞120%时，扣减10000分值。</w:t>
      </w:r>
    </w:p>
    <w:p w14:paraId="3C70B072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【商誉】初始值为100，扣减情况如下：</w:t>
      </w:r>
    </w:p>
    <w:p w14:paraId="4A2DDBBB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（1）订单未按时交货，系统判断为违约并扣除违约金，每违约一张订单商誉值-1；</w:t>
      </w:r>
    </w:p>
    <w:p w14:paraId="5C53785D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（2）未按时支付工人工资，季度结束后系统自动扣除，商誉值-5；</w:t>
      </w:r>
    </w:p>
    <w:p w14:paraId="093D630D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（3）原材料未按时收货，季度结束系统自动收货，商誉值-1；</w:t>
      </w:r>
    </w:p>
    <w:p w14:paraId="130DA658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（4）未按时支付贷款利息和本金，季度结束后系统自扣除，商誉值-1；</w:t>
      </w:r>
    </w:p>
    <w:p w14:paraId="0DB32F6D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（5）未按时支付应付账款，季度结束后系统自动扣除，每笔账款商誉值-1；</w:t>
      </w:r>
    </w:p>
    <w:p w14:paraId="2E2F1794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（6）未按时支付管理费用，季度结束系统自动扣除，商誉值-1。</w:t>
      </w:r>
    </w:p>
    <w:p w14:paraId="7685BA5E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</w:p>
    <w:p w14:paraId="550F4F24">
      <w:pPr>
        <w:autoSpaceDE w:val="0"/>
        <w:spacing w:line="560" w:lineRule="exact"/>
        <w:ind w:firstLine="636" w:firstLineChars="200"/>
        <w:rPr>
          <w:rFonts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（二）答辩成绩（满分1</w:t>
      </w:r>
      <w:r>
        <w:rPr>
          <w:rFonts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00</w:t>
      </w:r>
      <w:r>
        <w:rPr>
          <w:rFonts w:hint="eastAsia" w:ascii="Times New Roman" w:hAnsi="Times New Roman" w:eastAsia="楷体_GB2312" w:cs="楷体_GB2312"/>
          <w:spacing w:val="-1"/>
          <w:kern w:val="0"/>
          <w:sz w:val="32"/>
          <w:szCs w:val="32"/>
          <w:shd w:val="clear" w:color="auto" w:fill="FFFFFF"/>
        </w:rPr>
        <w:t>）</w:t>
      </w:r>
    </w:p>
    <w:p w14:paraId="6DAAAACF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每个赛区对抗赛排名前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25%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的队伍进入答辩环节。</w:t>
      </w:r>
    </w:p>
    <w:p w14:paraId="4B1512EE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答辩分组根据竞赛情况确定，组内次序由抽签决定。答辩环节的评分标准见表3。</w:t>
      </w:r>
    </w:p>
    <w:p w14:paraId="3174773E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参赛团队的答辩成绩为：去掉最高分和最低分，取其他分数的平均值为答辩成绩。</w:t>
      </w:r>
    </w:p>
    <w:p w14:paraId="52ACEF94">
      <w:pPr>
        <w:autoSpaceDE/>
        <w:spacing w:line="240" w:lineRule="auto"/>
        <w:ind w:firstLine="0" w:firstLineChars="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br w:type="page"/>
      </w:r>
    </w:p>
    <w:p w14:paraId="1E092E6E">
      <w:pPr>
        <w:autoSpaceDE w:val="0"/>
        <w:spacing w:line="560" w:lineRule="exact"/>
        <w:ind w:firstLine="420" w:firstLineChars="200"/>
        <w:jc w:val="center"/>
      </w:pPr>
      <w:bookmarkStart w:id="5" w:name="_GoBack"/>
      <w:bookmarkEnd w:id="5"/>
      <w:r>
        <w:t>表</w:t>
      </w:r>
      <w:r>
        <w:rPr>
          <w:rFonts w:hint="eastAsia"/>
        </w:rPr>
        <w:t>3 赛道2答辩评分标准</w:t>
      </w:r>
    </w:p>
    <w:tbl>
      <w:tblPr>
        <w:tblStyle w:val="8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51"/>
        <w:gridCol w:w="5103"/>
        <w:gridCol w:w="754"/>
      </w:tblGrid>
      <w:tr w14:paraId="00B9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04" w:type="dxa"/>
            <w:vAlign w:val="center"/>
          </w:tcPr>
          <w:p w14:paraId="74F41EE2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阶段</w:t>
            </w:r>
          </w:p>
        </w:tc>
        <w:tc>
          <w:tcPr>
            <w:tcW w:w="1951" w:type="dxa"/>
            <w:vAlign w:val="center"/>
          </w:tcPr>
          <w:p w14:paraId="161DD161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评分项目</w:t>
            </w:r>
          </w:p>
        </w:tc>
        <w:tc>
          <w:tcPr>
            <w:tcW w:w="5103" w:type="dxa"/>
            <w:vAlign w:val="center"/>
          </w:tcPr>
          <w:p w14:paraId="08D53DD6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内容</w:t>
            </w:r>
          </w:p>
        </w:tc>
        <w:tc>
          <w:tcPr>
            <w:tcW w:w="754" w:type="dxa"/>
            <w:vAlign w:val="center"/>
          </w:tcPr>
          <w:p w14:paraId="13BB559F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分值</w:t>
            </w:r>
          </w:p>
        </w:tc>
      </w:tr>
      <w:tr w14:paraId="2F0F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04" w:type="dxa"/>
            <w:vMerge w:val="restart"/>
            <w:vAlign w:val="center"/>
          </w:tcPr>
          <w:p w14:paraId="709006EC">
            <w:pPr>
              <w:pStyle w:val="3"/>
              <w:rPr>
                <w:sz w:val="20"/>
              </w:rPr>
            </w:pPr>
            <w:r>
              <w:rPr>
                <w:sz w:val="20"/>
              </w:rPr>
              <w:t>陈述</w:t>
            </w:r>
          </w:p>
        </w:tc>
        <w:tc>
          <w:tcPr>
            <w:tcW w:w="1951" w:type="dxa"/>
            <w:vAlign w:val="center"/>
          </w:tcPr>
          <w:p w14:paraId="580FB51D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智能体应用</w:t>
            </w:r>
          </w:p>
        </w:tc>
        <w:tc>
          <w:tcPr>
            <w:tcW w:w="5103" w:type="dxa"/>
            <w:vAlign w:val="center"/>
          </w:tcPr>
          <w:p w14:paraId="4E4D2D1C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智能体构建、智能体训练、智能体应用效果</w:t>
            </w:r>
          </w:p>
        </w:tc>
        <w:tc>
          <w:tcPr>
            <w:tcW w:w="754" w:type="dxa"/>
            <w:vAlign w:val="center"/>
          </w:tcPr>
          <w:p w14:paraId="7595480E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20</w:t>
            </w:r>
          </w:p>
        </w:tc>
      </w:tr>
      <w:tr w14:paraId="28D9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704" w:type="dxa"/>
            <w:vMerge w:val="continue"/>
            <w:vAlign w:val="center"/>
          </w:tcPr>
          <w:p w14:paraId="02D66363">
            <w:pPr>
              <w:pStyle w:val="3"/>
              <w:rPr>
                <w:sz w:val="20"/>
              </w:rPr>
            </w:pPr>
          </w:p>
        </w:tc>
        <w:tc>
          <w:tcPr>
            <w:tcW w:w="1951" w:type="dxa"/>
            <w:vAlign w:val="center"/>
          </w:tcPr>
          <w:p w14:paraId="6950653A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战略穿透力</w:t>
            </w:r>
          </w:p>
        </w:tc>
        <w:tc>
          <w:tcPr>
            <w:tcW w:w="5103" w:type="dxa"/>
            <w:vAlign w:val="center"/>
          </w:tcPr>
          <w:p w14:paraId="3C24BD46">
            <w:pPr>
              <w:pStyle w:val="3"/>
              <w:rPr>
                <w:sz w:val="20"/>
              </w:rPr>
            </w:pPr>
            <w:r>
              <w:rPr>
                <w:sz w:val="20"/>
              </w:rPr>
              <w:t>合理性</w:t>
            </w:r>
            <w:r>
              <w:rPr>
                <w:rFonts w:hint="eastAsia"/>
                <w:sz w:val="20"/>
              </w:rPr>
              <w:t>、决策链逻辑性、数据支撑强度、</w:t>
            </w:r>
            <w:r>
              <w:rPr>
                <w:sz w:val="20"/>
              </w:rPr>
              <w:t>路径可行性、数智化融合深度</w:t>
            </w:r>
            <w:r>
              <w:rPr>
                <w:rFonts w:hint="eastAsia"/>
                <w:sz w:val="20"/>
              </w:rPr>
              <w:t>、ESG企业社会责任与可持续发展</w:t>
            </w:r>
          </w:p>
        </w:tc>
        <w:tc>
          <w:tcPr>
            <w:tcW w:w="754" w:type="dxa"/>
            <w:vAlign w:val="center"/>
          </w:tcPr>
          <w:p w14:paraId="6019B1FA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0</w:t>
            </w:r>
          </w:p>
        </w:tc>
      </w:tr>
      <w:tr w14:paraId="3443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704" w:type="dxa"/>
            <w:vMerge w:val="continue"/>
            <w:vAlign w:val="center"/>
          </w:tcPr>
          <w:p w14:paraId="66A7669E">
            <w:pPr>
              <w:pStyle w:val="3"/>
              <w:rPr>
                <w:sz w:val="20"/>
              </w:rPr>
            </w:pPr>
          </w:p>
        </w:tc>
        <w:tc>
          <w:tcPr>
            <w:tcW w:w="1951" w:type="dxa"/>
            <w:vAlign w:val="center"/>
          </w:tcPr>
          <w:p w14:paraId="721F72E2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应变能力</w:t>
            </w:r>
          </w:p>
        </w:tc>
        <w:tc>
          <w:tcPr>
            <w:tcW w:w="5103" w:type="dxa"/>
            <w:vAlign w:val="center"/>
          </w:tcPr>
          <w:p w14:paraId="31945CE6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执行过程中出现与预期方案不一致性的</w:t>
            </w:r>
            <w:r>
              <w:rPr>
                <w:sz w:val="20"/>
              </w:rPr>
              <w:t>应急响应速度、资源调配效率、风险控制能力</w:t>
            </w:r>
            <w:r>
              <w:rPr>
                <w:rFonts w:hint="eastAsia"/>
                <w:sz w:val="20"/>
              </w:rPr>
              <w:t>、</w:t>
            </w:r>
            <w:r>
              <w:rPr>
                <w:sz w:val="20"/>
              </w:rPr>
              <w:t>危机韧性</w:t>
            </w:r>
          </w:p>
        </w:tc>
        <w:tc>
          <w:tcPr>
            <w:tcW w:w="754" w:type="dxa"/>
            <w:vAlign w:val="center"/>
          </w:tcPr>
          <w:p w14:paraId="686019B6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0</w:t>
            </w:r>
          </w:p>
        </w:tc>
      </w:tr>
      <w:tr w14:paraId="42821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704" w:type="dxa"/>
            <w:vMerge w:val="continue"/>
            <w:vAlign w:val="center"/>
          </w:tcPr>
          <w:p w14:paraId="6DD228A1">
            <w:pPr>
              <w:pStyle w:val="3"/>
              <w:rPr>
                <w:sz w:val="20"/>
              </w:rPr>
            </w:pPr>
          </w:p>
        </w:tc>
        <w:tc>
          <w:tcPr>
            <w:tcW w:w="1951" w:type="dxa"/>
            <w:vAlign w:val="center"/>
          </w:tcPr>
          <w:p w14:paraId="416D4535">
            <w:pPr>
              <w:pStyle w:val="3"/>
              <w:rPr>
                <w:sz w:val="20"/>
              </w:rPr>
            </w:pPr>
            <w:r>
              <w:rPr>
                <w:sz w:val="20"/>
              </w:rPr>
              <w:t>报告呈现质量</w:t>
            </w:r>
          </w:p>
        </w:tc>
        <w:tc>
          <w:tcPr>
            <w:tcW w:w="5103" w:type="dxa"/>
            <w:vAlign w:val="center"/>
          </w:tcPr>
          <w:p w14:paraId="57CE16B9">
            <w:pPr>
              <w:pStyle w:val="3"/>
              <w:rPr>
                <w:sz w:val="20"/>
              </w:rPr>
            </w:pPr>
            <w:r>
              <w:rPr>
                <w:sz w:val="20"/>
              </w:rPr>
              <w:t>结构严谨性</w:t>
            </w:r>
            <w:r>
              <w:rPr>
                <w:rFonts w:hint="eastAsia"/>
                <w:sz w:val="20"/>
              </w:rPr>
              <w:t>、理论知识深刻理解并灵活应用的能力、数据可视化程度、学术规范性</w:t>
            </w:r>
          </w:p>
        </w:tc>
        <w:tc>
          <w:tcPr>
            <w:tcW w:w="754" w:type="dxa"/>
            <w:vAlign w:val="center"/>
          </w:tcPr>
          <w:p w14:paraId="31D9CFA6">
            <w:pPr>
              <w:pStyle w:val="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14:paraId="1A153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704" w:type="dxa"/>
            <w:vMerge w:val="continue"/>
            <w:vAlign w:val="center"/>
          </w:tcPr>
          <w:p w14:paraId="4625F72C">
            <w:pPr>
              <w:pStyle w:val="3"/>
              <w:rPr>
                <w:sz w:val="20"/>
              </w:rPr>
            </w:pPr>
          </w:p>
        </w:tc>
        <w:tc>
          <w:tcPr>
            <w:tcW w:w="1951" w:type="dxa"/>
            <w:vAlign w:val="center"/>
          </w:tcPr>
          <w:p w14:paraId="05CAA1E1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竞赛中动态决策能力</w:t>
            </w:r>
          </w:p>
        </w:tc>
        <w:tc>
          <w:tcPr>
            <w:tcW w:w="5103" w:type="dxa"/>
            <w:vAlign w:val="center"/>
          </w:tcPr>
          <w:p w14:paraId="738E8336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贯彻执行策略、竞争对手分析、风险识别及风险控制、应对市场变化、调整策略</w:t>
            </w:r>
          </w:p>
        </w:tc>
        <w:tc>
          <w:tcPr>
            <w:tcW w:w="754" w:type="dxa"/>
            <w:vAlign w:val="center"/>
          </w:tcPr>
          <w:p w14:paraId="2DE95C2A">
            <w:pPr>
              <w:pStyle w:val="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14:paraId="78FB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  <w:vMerge w:val="restart"/>
            <w:vAlign w:val="center"/>
          </w:tcPr>
          <w:p w14:paraId="7AF37755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问答环节</w:t>
            </w:r>
          </w:p>
        </w:tc>
        <w:tc>
          <w:tcPr>
            <w:tcW w:w="1951" w:type="dxa"/>
            <w:vAlign w:val="center"/>
          </w:tcPr>
          <w:p w14:paraId="380217FF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临场反应</w:t>
            </w:r>
          </w:p>
        </w:tc>
        <w:tc>
          <w:tcPr>
            <w:tcW w:w="5103" w:type="dxa"/>
            <w:vAlign w:val="center"/>
          </w:tcPr>
          <w:p w14:paraId="535D9D80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回答迅速、抓住要点、语言简洁</w:t>
            </w:r>
          </w:p>
        </w:tc>
        <w:tc>
          <w:tcPr>
            <w:tcW w:w="754" w:type="dxa"/>
            <w:vAlign w:val="center"/>
          </w:tcPr>
          <w:p w14:paraId="7A8EAD06">
            <w:pPr>
              <w:pStyle w:val="3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14:paraId="51614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704" w:type="dxa"/>
            <w:vMerge w:val="continue"/>
            <w:vAlign w:val="center"/>
          </w:tcPr>
          <w:p w14:paraId="6E28577A">
            <w:pPr>
              <w:pStyle w:val="3"/>
              <w:rPr>
                <w:sz w:val="20"/>
              </w:rPr>
            </w:pPr>
          </w:p>
        </w:tc>
        <w:tc>
          <w:tcPr>
            <w:tcW w:w="1951" w:type="dxa"/>
            <w:vAlign w:val="center"/>
          </w:tcPr>
          <w:p w14:paraId="773FC8BC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专业知识</w:t>
            </w:r>
          </w:p>
        </w:tc>
        <w:tc>
          <w:tcPr>
            <w:tcW w:w="5103" w:type="dxa"/>
            <w:vAlign w:val="center"/>
          </w:tcPr>
          <w:p w14:paraId="696B41B3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专业知识面广、深刻理解提问并灵活应用专业知识回答</w:t>
            </w:r>
          </w:p>
        </w:tc>
        <w:tc>
          <w:tcPr>
            <w:tcW w:w="754" w:type="dxa"/>
            <w:vAlign w:val="center"/>
          </w:tcPr>
          <w:p w14:paraId="7AC769CC">
            <w:pPr>
              <w:pStyle w:val="3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14:paraId="3B6F7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 w14:paraId="62D380A0">
            <w:pPr>
              <w:pStyle w:val="3"/>
              <w:rPr>
                <w:sz w:val="20"/>
              </w:rPr>
            </w:pPr>
          </w:p>
        </w:tc>
        <w:tc>
          <w:tcPr>
            <w:tcW w:w="1951" w:type="dxa"/>
            <w:vAlign w:val="center"/>
          </w:tcPr>
          <w:p w14:paraId="62ED01E5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整体印象</w:t>
            </w:r>
          </w:p>
        </w:tc>
        <w:tc>
          <w:tcPr>
            <w:tcW w:w="5103" w:type="dxa"/>
            <w:vAlign w:val="center"/>
          </w:tcPr>
          <w:p w14:paraId="72AC628A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答辩整体逻辑性、回答问题的清晰程度、问题回答创新性和正确性、团队成员协作补充</w:t>
            </w:r>
          </w:p>
        </w:tc>
        <w:tc>
          <w:tcPr>
            <w:tcW w:w="754" w:type="dxa"/>
            <w:vAlign w:val="center"/>
          </w:tcPr>
          <w:p w14:paraId="0E01BD2B">
            <w:pPr>
              <w:pStyle w:val="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14:paraId="111BC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758" w:type="dxa"/>
            <w:gridSpan w:val="3"/>
            <w:vAlign w:val="center"/>
          </w:tcPr>
          <w:p w14:paraId="53D495F9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合计</w:t>
            </w:r>
          </w:p>
        </w:tc>
        <w:tc>
          <w:tcPr>
            <w:tcW w:w="754" w:type="dxa"/>
            <w:vAlign w:val="center"/>
          </w:tcPr>
          <w:p w14:paraId="63F59740">
            <w:pPr>
              <w:pStyle w:val="3"/>
              <w:rPr>
                <w:sz w:val="20"/>
              </w:rPr>
            </w:pPr>
            <w:r>
              <w:rPr>
                <w:rFonts w:hint="eastAsia"/>
                <w:sz w:val="20"/>
              </w:rPr>
              <w:t>100</w:t>
            </w:r>
          </w:p>
        </w:tc>
      </w:tr>
    </w:tbl>
    <w:p w14:paraId="1184359D">
      <w:pPr>
        <w:autoSpaceDE w:val="0"/>
        <w:ind w:firstLine="480" w:firstLineChars="200"/>
        <w:rPr>
          <w:rFonts w:ascii="仿宋_GB2312" w:hAnsi="Times New Roman" w:eastAsia="仿宋_GB2312" w:cs="宋体"/>
          <w:bCs/>
          <w:kern w:val="0"/>
          <w:sz w:val="24"/>
          <w:szCs w:val="24"/>
        </w:rPr>
      </w:pPr>
    </w:p>
    <w:p w14:paraId="3F6590C6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OLE_LINK4"/>
      <w:bookmarkStart w:id="4" w:name="OLE_LINK3"/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赛道2</w:t>
      </w: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奖项不平衡时分配规则</w:t>
      </w:r>
    </w:p>
    <w:p w14:paraId="15F48020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由于组数原因，如果各赛区完全按照省厅规定比例设置奖项，可能造成奖项名额浪费。为避免奖项名额浪费，奖项分配采用如下规则：设赛区数为N，总体一/二/三等奖名额为M1/M2/M3，</w:t>
      </w:r>
      <w:r>
        <w:rPr>
          <w:rFonts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=M1//N(//整除）,n=M1%</w:t>
      </w:r>
      <w:r>
        <w:rPr>
          <w:rFonts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N（%取余）。则各赛区的第1~i名为一等奖，第（i+1)名按对抗赛系统得分Z降序排序，前n支参赛队为一等奖，剩下（N-n)支参赛队为二等奖，剩余二等奖名额减为M2-(N-n)，在各赛区的第i+2名之后分配，方法同上。</w:t>
      </w:r>
    </w:p>
    <w:p w14:paraId="77E04EDF">
      <w:pPr>
        <w:autoSpaceDE w:val="0"/>
        <w:spacing w:line="560" w:lineRule="exact"/>
        <w:ind w:firstLine="640" w:firstLineChars="200"/>
        <w:rPr>
          <w:rFonts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例如，7个赛区按规定有11个一等奖、20个二等奖、36个三等奖。一等奖分配：</w:t>
      </w:r>
      <w:r>
        <w:rPr>
          <w:rFonts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=11//7=1,n=11%7=4,则每个赛区的第1名为一等奖，第2名按</w:t>
      </w: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对抗赛系统得分Z</w:t>
      </w:r>
      <w:r>
        <w:rPr>
          <w:rFonts w:hint="eastAsia"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进行降序排名，排名前4位的参赛队获得一等奖，剩下3支参赛队获得二等奖，剩余二等奖名额为17个。二等奖分配：</w:t>
      </w:r>
      <w:r>
        <w:rPr>
          <w:rFonts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i=17//7=2, </w:t>
      </w:r>
      <w:r>
        <w:rPr>
          <w:rFonts w:hint="eastAsia"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n=17%7=3,各赛区第3-4名为二等奖，第5名</w:t>
      </w: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对抗赛系统得分Z</w:t>
      </w:r>
      <w:r>
        <w:rPr>
          <w:rFonts w:hint="eastAsia"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排名前3的参赛队为二等奖，剩下4支参赛队获三等奖，剩余三等奖名额减为32个。三等奖分配：</w:t>
      </w:r>
      <w:r>
        <w:rPr>
          <w:rFonts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=32//7=4,n=32%7=4，各赛区第6-9名为三等奖，各赛区第10名</w:t>
      </w:r>
      <w:r>
        <w:rPr>
          <w:rFonts w:hint="eastAsia" w:ascii="仿宋_GB2312" w:hAnsi="Times New Roman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对抗赛系统得分Z</w:t>
      </w:r>
      <w:r>
        <w:rPr>
          <w:rFonts w:hint="eastAsia" w:ascii="仿宋_GB2312" w:hAnsi="Times New Roman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排名前4的参赛队获三等奖。</w:t>
      </w:r>
    </w:p>
    <w:bookmarkEnd w:id="1"/>
    <w:bookmarkEnd w:id="2"/>
    <w:bookmarkEnd w:id="3"/>
    <w:bookmarkEnd w:id="4"/>
    <w:p w14:paraId="502EC6B9">
      <w:pPr>
        <w:rPr>
          <w:rFonts w:ascii="仿宋_GB2312" w:hAnsi="Times New Roman" w:eastAsia="仿宋_GB2312" w:cs="宋体"/>
          <w:bCs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E419D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F6A94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F6A94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19F"/>
    <w:rsid w:val="00055A44"/>
    <w:rsid w:val="000B3D88"/>
    <w:rsid w:val="000B6F19"/>
    <w:rsid w:val="00167D63"/>
    <w:rsid w:val="00184E8C"/>
    <w:rsid w:val="00187E03"/>
    <w:rsid w:val="001E438B"/>
    <w:rsid w:val="002F39EC"/>
    <w:rsid w:val="00306DF4"/>
    <w:rsid w:val="00355258"/>
    <w:rsid w:val="003C3356"/>
    <w:rsid w:val="00411BD1"/>
    <w:rsid w:val="004630C5"/>
    <w:rsid w:val="004656BC"/>
    <w:rsid w:val="004E6326"/>
    <w:rsid w:val="00551115"/>
    <w:rsid w:val="0058658E"/>
    <w:rsid w:val="005D0958"/>
    <w:rsid w:val="005D0D14"/>
    <w:rsid w:val="005D7079"/>
    <w:rsid w:val="00644AC5"/>
    <w:rsid w:val="0066519F"/>
    <w:rsid w:val="0067374A"/>
    <w:rsid w:val="00723DB6"/>
    <w:rsid w:val="00807360"/>
    <w:rsid w:val="0087041F"/>
    <w:rsid w:val="00920766"/>
    <w:rsid w:val="009517C3"/>
    <w:rsid w:val="00952114"/>
    <w:rsid w:val="009C31C3"/>
    <w:rsid w:val="00A06BB8"/>
    <w:rsid w:val="00A14A85"/>
    <w:rsid w:val="00A26A46"/>
    <w:rsid w:val="00C166A5"/>
    <w:rsid w:val="00C54569"/>
    <w:rsid w:val="00CC576B"/>
    <w:rsid w:val="00D255EE"/>
    <w:rsid w:val="00D3481E"/>
    <w:rsid w:val="00D82CCE"/>
    <w:rsid w:val="00DA19D7"/>
    <w:rsid w:val="00DA334E"/>
    <w:rsid w:val="00E2279B"/>
    <w:rsid w:val="00EA45A6"/>
    <w:rsid w:val="00F12844"/>
    <w:rsid w:val="00F820DC"/>
    <w:rsid w:val="00F91809"/>
    <w:rsid w:val="00FB5422"/>
    <w:rsid w:val="00FF5CFC"/>
    <w:rsid w:val="042C14B2"/>
    <w:rsid w:val="1393632E"/>
    <w:rsid w:val="239531D8"/>
    <w:rsid w:val="24C2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autoRedefine/>
    <w:unhideWhenUsed/>
    <w:qFormat/>
    <w:uiPriority w:val="35"/>
    <w:pPr>
      <w:keepNext/>
      <w:jc w:val="center"/>
    </w:pPr>
    <w:rPr>
      <w:rFonts w:ascii="仿宋_GB2312" w:hAnsi="Times New Roman" w:eastAsia="仿宋_GB2312" w:cs="宋体"/>
      <w:bCs/>
      <w:kern w:val="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脚 字符"/>
    <w:basedOn w:val="9"/>
    <w:link w:val="5"/>
    <w:qFormat/>
    <w:uiPriority w:val="99"/>
    <w:rPr>
      <w:kern w:val="0"/>
      <w:sz w:val="18"/>
      <w:szCs w:val="20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styleId="13">
    <w:name w:val="Placeholder Text"/>
    <w:basedOn w:val="9"/>
    <w:semiHidden/>
    <w:qFormat/>
    <w:uiPriority w:val="99"/>
    <w:rPr>
      <w:color w:val="808080"/>
    </w:rPr>
  </w:style>
  <w:style w:type="character" w:customStyle="1" w:styleId="14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2046</Words>
  <Characters>2231</Characters>
  <Lines>15</Lines>
  <Paragraphs>4</Paragraphs>
  <TotalTime>3</TotalTime>
  <ScaleCrop>false</ScaleCrop>
  <LinksUpToDate>false</LinksUpToDate>
  <CharactersWithSpaces>2236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2025-07-03T03:26:00Z</dcterms:created>
  <dc:creator>admin</dc:creator>
  <cp:lastModifiedBy>咪哆</cp:lastModifiedBy>
  <dcterms:modified xsi:type="dcterms:W3CDTF">2026-06-26T02:53:26Z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eyJoZGlkIjoiMTRlYjM4M2MwNGExYTY4YTM0NmYwMzYzOThmYjM5Y2EiLCJ1c2VySWQiOiI2NzM5Nzg2MjcifQ==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1A3546998CF4475DA1994E96AA0A4E26_13</vt:lpwstr>
  </property>
</Properties>
</file>